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tomic-at-a-glance."/>
    <w:p>
      <w:pPr>
        <w:pStyle w:val="Heading1"/>
      </w:pPr>
      <w:r>
        <w:t xml:space="preserve">Atomic, at a glance.</w:t>
      </w:r>
    </w:p>
    <w:p>
      <w:pPr>
        <w:pStyle w:val="FirstParagraph"/>
      </w:pPr>
      <w:r>
        <w:t xml:space="preserve">Facts &amp; reusable copy · Atomic / Abstract Machines · Updated 30 October 2026 · atomicapp.dev</w:t>
      </w:r>
    </w:p>
    <w:p>
      <w:pPr>
        <w:pStyle w:val="CaptionedFigure"/>
      </w:pPr>
      <w:r>
        <w:drawing>
          <wp:inline>
            <wp:extent cx="3838575" cy="2878931"/>
            <wp:effectExtent b="0" l="0" r="0" t="0"/>
            <wp:docPr descr="01-home" title="" id="10" name="Picture"/>
            <a:graphic>
              <a:graphicData uri="http://schemas.openxmlformats.org/drawingml/2006/picture">
                <pic:pic>
                  <pic:nvPicPr>
                    <pic:cNvPr descr="01-hom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878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Lead product image · the Atomic home screen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Atomic · AI web-application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Abstract Machines · Paris, France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atomicapp.dev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Launch date</w:t>
            </w:r>
          </w:p>
        </w:tc>
        <w:tc>
          <w:tcPr/>
          <w:p>
            <w:pPr>
              <w:pStyle w:val="Compact"/>
            </w:pPr>
            <w:r>
              <w:t xml:space="preserve">3 November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Free ($0), Builder at $25/month, and Pro at $50/month.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allowance</w:t>
            </w:r>
          </w:p>
        </w:tc>
        <w:tc>
          <w:tcPr/>
          <w:p>
            <w:pPr>
              <w:pStyle w:val="Compact"/>
            </w:pPr>
            <w:r>
              <w:t xml:space="preserve">250 credits per month, used at up to 50 a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Paid-plan features</w:t>
            </w:r>
          </w:p>
        </w:tc>
        <w:tc>
          <w:tcPr/>
          <w:p>
            <w:pPr>
              <w:pStyle w:val="Compact"/>
            </w:pPr>
            <w:r>
              <w:t xml:space="preserve">Source downloads and team collaboration: Builder /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Founders, freelancers and small businesses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Bookings, shops, client portals and internal 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15 product views · 3 launch-film formats · 3 matching 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contact</w:t>
            </w:r>
          </w:p>
        </w:tc>
        <w:tc>
          <w:tcPr/>
          <w:p>
            <w:pPr>
              <w:pStyle w:val="Compact"/>
            </w:pPr>
            <w:r>
              <w:t xml:space="preserve">Drasko Draskovic · drasko@absmach.eu</w:t>
            </w:r>
          </w:p>
        </w:tc>
      </w:tr>
    </w:tbl>
    <w:p>
      <w:r>
        <w:br w:type="page"/>
      </w:r>
    </w:p>
    <w:bookmarkStart w:id="13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Atomic is an AI app builder from Abstract Machines that turns plain-language ideas into web applications, with visual editing, previews, source access and publishing.</w:t>
      </w:r>
    </w:p>
    <w:bookmarkEnd w:id="13"/>
    <w:bookmarkStart w:id="14" w:name="short-description"/>
    <w:p>
      <w:pPr>
        <w:pStyle w:val="Heading2"/>
      </w:pPr>
      <w:r>
        <w:t xml:space="preserve">Short description</w:t>
      </w:r>
    </w:p>
    <w:p>
      <w:pPr>
        <w:pStyle w:val="FirstParagraph"/>
      </w:pPr>
      <w:r>
        <w:t xml:space="preserve">Atomic helps founders, freelancers and small businesses turn an idea into a web application. Start with a prompt or template, refine the result in conversation and on the Canvas, inspect the source, and publish a reviewed version. Atom, the open-source backend from the same team, provides application identities, permissions and data.</w:t>
      </w:r>
    </w:p>
    <w:bookmarkEnd w:id="14"/>
    <w:bookmarkStart w:id="18" w:name="company-boilerplate"/>
    <w:p>
      <w:pPr>
        <w:pStyle w:val="Heading2"/>
      </w:pPr>
      <w:r>
        <w:t xml:space="preserve">Company boilerplate</w:t>
      </w:r>
    </w:p>
    <w:p>
      <w:pPr>
        <w:pStyle w:val="FirstParagraph"/>
      </w:pPr>
      <w:r>
        <w:t xml:space="preserve">Abstract Machines is a Paris-based applied AI company building intelligent software and the infrastructure behind it. Its work combines application development, open-source engineering and research across connected systems, identity and confidential computing. Atomic is its AI app builder; Atom is the open-source backend providing identity, permissions and application data.</w:t>
      </w:r>
    </w:p>
    <w:p>
      <w:pPr>
        <w:pStyle w:val="CaptionedFigure"/>
      </w:pPr>
      <w:r>
        <w:drawing>
          <wp:inline>
            <wp:extent cx="3124200" cy="2343150"/>
            <wp:effectExtent b="0" l="0" r="0" t="0"/>
            <wp:docPr descr="02-templates" title="" id="16" name="Picture"/>
            <a:graphic>
              <a:graphicData uri="http://schemas.openxmlformats.org/drawingml/2006/picture">
                <pic:pic>
                  <pic:nvPicPr>
                    <pic:cNvPr descr="02-templates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Template catalogue · photo-based sample applications</w:t>
      </w:r>
    </w:p>
    <w:bookmarkEnd w:id="18"/>
    <w:bookmarkStart w:id="19" w:name="names-and-image-context"/>
    <w:p>
      <w:pPr>
        <w:pStyle w:val="Heading2"/>
      </w:pPr>
      <w:r>
        <w:t xml:space="preserve">Names and image context</w:t>
      </w:r>
    </w:p>
    <w:p>
      <w:pPr>
        <w:pStyle w:val="FirstParagraph"/>
      </w:pPr>
      <w:r>
        <w:t xml:space="preserve">Write “Atomic” for the product, “Abstract Machines” for the company and “Atom” for the backend. Product views use local sample applications and data. Billing values are illustrative; use the confirmed plan prices above for editorial copy.</w:t>
      </w:r>
    </w:p>
    <w:bookmarkEnd w:id="19"/>
    <w:bookmarkEnd w:id="20"/>
    <w:sectPr>
      <w:footnotePr>
        <w:numRestart w:val="eachSect"/>
      </w:footnotePr>
      <w:pgSz w:w="11906" w:h="16838"/>
      <w:pgMar w:top="1020" w:bottom="1020" w:left="1020" w:right="1020" w:header="400" w:footer="4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  <w:szCs w:val="20"/>
    </w:rPr>
    <w:pPr>
      <w:spacing w:before="0" w:after="100" w:line="270" w:lineRule="auto"/>
    </w:pPr>
  </w:style>
  <w:style w:styleId="BodyText" w:type="paragraph">
    <w:name w:val="Body Text"/>
    <w:basedOn w:val="Normal"/>
    <w:link w:val="BodyTextChar"/>
    <w:qFormat/>
    <w:pPr>
      <w:spacing w:before="0" w:after="100" w:line="270" w:lineRule="auto"/>
    </w:pPr>
    <w:rPr>
      <w:rFonts w:ascii="Arial" w:hAnsi="Arial"/>
      <w:sz w:val="20"/>
      <w:szCs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  <w:szCs w:val="20"/>
    </w:rPr>
    <w:pPr>
      <w:spacing w:before="0" w:after="100" w:line="270" w:lineRule="auto"/>
    </w:pPr>
  </w:style>
  <w:style w:customStyle="1" w:styleId="Compact" w:type="paragraph">
    <w:name w:val="Compact"/>
    <w:basedOn w:val="BodyText"/>
    <w:qFormat/>
    <w:pPr>
      <w:spacing w:before="0" w:after="100" w:line="270" w:lineRule="auto"/>
    </w:pPr>
    <w:rPr>
      <w:rFonts w:ascii="Arial" w:hAnsi="Arial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before="160" w:after="100" w:line="270" w:lineRule="auto"/>
    </w:pPr>
    <w:rPr>
      <w:color w:themeColor="accent1" w:themeShade="BF" w:val="0F4761"/>
      <w:rFonts w:ascii="Arial" w:hAnsi="Arial"/>
      <w:sz w:val="46"/>
      <w:szCs w:val="4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before="160" w:after="100" w:line="270" w:lineRule="auto"/>
    </w:pPr>
    <w:rPr>
      <w:color w:themeColor="accent1" w:themeShade="BF" w:val="0F4761"/>
      <w:rFonts w:ascii="Arial" w:hAnsi="Arial"/>
      <w:sz w:val="25"/>
      <w:szCs w:val="25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before="0" w:after="100" w:line="270" w:lineRule="auto"/>
    </w:pPr>
    <w:rPr>
      <w:i/>
      <w:rFonts w:ascii="Arial" w:hAnsi="Arial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sz w:val="18"/>
      <w:szCs w:val="18"/>
    </w:rPr>
    <w:pPr>
      <w:spacing w:before="0" w:after="100" w:line="27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5" Target="media/rId15.jpg" /><Relationship Type="http://schemas.openxmlformats.org/officeDocument/2006/relationships/hyperlink" Id="rId12" Target="https://atomicapp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tomicapp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2026-10-30T13:25:43Z</dcterms:created>
  <dcterms:modified xsi:type="dcterms:W3CDTF">2026-10-30T13:25:43Z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