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omic-at-a-glance."/>
    <w:p>
      <w:pPr>
        <w:pStyle w:val="Heading1"/>
      </w:pPr>
      <w:r>
        <w:t xml:space="preserve">Atomic, at a glance.</w:t>
      </w:r>
    </w:p>
    <w:p>
      <w:pPr>
        <w:pStyle w:val="FirstParagraph"/>
      </w:pPr>
      <w:r>
        <w:t xml:space="preserve">Facts &amp; reusable copy · Atomic / Abstract Machines · Updated 30 October 2026 · atomicapp.dev</w:t>
      </w:r>
    </w:p>
    <w:p>
      <w:pPr>
        <w:pStyle w:val="CaptionedFigure"/>
      </w:pPr>
      <w:r>
        <w:drawing>
          <wp:inline>
            <wp:extent cx="3838575" cy="2878931"/>
            <wp:effectExtent b="0" l="0" r="0" t="0"/>
            <wp:docPr descr="09-applications" title="" id="10" name="Picture"/>
            <a:graphic>
              <a:graphicData uri="http://schemas.openxmlformats.org/drawingml/2006/picture">
                <pic:pic>
                  <pic:nvPicPr>
                    <pic:cNvPr descr="09-applications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7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Applications · a workspace containing three sample projects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Atomic · AI web-application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Launch date</w:t>
            </w:r>
          </w:p>
        </w:tc>
        <w:tc>
          <w:tcPr/>
          <w:p>
            <w:pPr>
              <w:pStyle w:val="Compact"/>
            </w:pPr>
            <w:r>
              <w:t xml:space="preserve">3 November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Free ($0), Builder at $25/month, and Pro at $50/month.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allowance</w:t>
            </w:r>
          </w:p>
        </w:tc>
        <w:tc>
          <w:tcPr/>
          <w:p>
            <w:pPr>
              <w:pStyle w:val="Compact"/>
            </w:pPr>
            <w:r>
              <w:t xml:space="preserve">250 credits once, used at up to 50 a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Paid-plan features</w:t>
            </w:r>
          </w:p>
        </w:tc>
        <w:tc>
          <w:tcPr/>
          <w:p>
            <w:pPr>
              <w:pStyle w:val="Compact"/>
            </w:pPr>
            <w:r>
              <w:t xml:space="preserve">Source downloads, searchable preview logs and collaboration: Builder /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Founders, freelancers and small businesses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Bookings, shops, client portals and internal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17 product views · 3 launch-film formats · 3 matching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contact</w:t>
            </w:r>
          </w:p>
        </w:tc>
        <w:tc>
          <w:tcPr/>
          <w:p>
            <w:pPr>
              <w:pStyle w:val="Compact"/>
            </w:pPr>
            <w:r>
              <w:t xml:space="preserve">Drasko Draskovic · drasko@absmach.eu</w:t>
            </w:r>
          </w:p>
        </w:tc>
      </w:tr>
    </w:tbl>
    <w:p>
      <w:r>
        <w:br w:type="page"/>
      </w:r>
    </w:p>
    <w:bookmarkStart w:id="13" w:name="one-sentence"/>
    <w:p>
      <w:pPr>
        <w:pStyle w:val="Heading2"/>
      </w:pPr>
      <w:r>
        <w:t xml:space="preserve">One sentence</w:t>
      </w:r>
    </w:p>
    <w:p>
      <w:pPr>
        <w:pStyle w:val="FirstParagraph"/>
      </w:pPr>
      <w:r>
        <w:t xml:space="preserve">Atomic is an AI app builder from Abstract Machines that turns plain-language ideas into web applications, with visual editing, previews, source access and publishing.</w:t>
      </w:r>
    </w:p>
    <w:bookmarkEnd w:id="13"/>
    <w:bookmarkStart w:id="14" w:name="short-description"/>
    <w:p>
      <w:pPr>
        <w:pStyle w:val="Heading2"/>
      </w:pPr>
      <w:r>
        <w:t xml:space="preserve">Short description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4"/>
    <w:bookmarkStart w:id="18" w:name="company-boilerplate"/>
    <w:p>
      <w:pPr>
        <w:pStyle w:val="Heading2"/>
      </w:pPr>
      <w:r>
        <w:t xml:space="preserve">Company boilerplate</w:t>
      </w:r>
    </w:p>
    <w:p>
      <w:pPr>
        <w:pStyle w:val="FirstParagraph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17-usage" title="" id="16" name="Picture"/>
            <a:graphic>
              <a:graphicData uri="http://schemas.openxmlformats.org/drawingml/2006/picture">
                <pic:pic>
                  <pic:nvPicPr>
                    <pic:cNvPr descr="17-usage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Usage · recent sample building sessions, credits and duration</w:t>
      </w:r>
    </w:p>
    <w:bookmarkEnd w:id="18"/>
    <w:bookmarkStart w:id="19" w:name="names-and-image-context"/>
    <w:p>
      <w:pPr>
        <w:pStyle w:val="Heading2"/>
      </w:pPr>
      <w:r>
        <w:t xml:space="preserve">Names and image context</w:t>
      </w:r>
    </w:p>
    <w:p>
      <w:pPr>
        <w:pStyle w:val="FirstParagraph"/>
      </w:pPr>
      <w:r>
        <w:t xml:space="preserve">Write “Atomic” for the product, “Abstract Machines” for the company and “Atom” for the backend. Product views use local sample applications and data. Billing values are illustrative; use the confirmed plan prices above for editorial copy.</w:t>
      </w:r>
    </w:p>
    <w:bookmarkEnd w:id="19"/>
    <w:bookmarkEnd w:id="2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5" Target="media/rId15.jpg" /><Relationship Type="http://schemas.openxmlformats.org/officeDocument/2006/relationships/hyperlink" Id="rId12" Target="https://atomicapp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tomicapp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2026-10-30T16:05:56Z</dcterms:created>
  <dcterms:modified xsi:type="dcterms:W3CDTF">2026-10-30T16:05:56Z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