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Updated 30 October 2026 · atomicapp.dev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3-template-preview" title="" id="10" name="Picture"/>
            <a:graphic>
              <a:graphicData uri="http://schemas.openxmlformats.org/drawingml/2006/picture">
                <pic:pic>
                  <pic:nvPicPr>
                    <pic:cNvPr descr="03-template-previe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template can be explored before it is adapted</w:t>
      </w:r>
    </w:p>
    <w:bookmarkStart w:id="12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2"/>
    <w:bookmarkStart w:id="13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Start by describing the app you want. Review the preview and refine it through conversation or visual editing. You should still test the workflows before sharing it.</w:t>
      </w:r>
    </w:p>
    <w:bookmarkEnd w:id="13"/>
    <w:bookmarkStart w:id="14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Booking apps, online shops, client portals and internal tools are typical starting points. The commerce starter records order requests; it does not by itself collect payments.</w:t>
      </w:r>
    </w:p>
    <w:bookmarkEnd w:id="14"/>
    <w:bookmarkStart w:id="15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Navigate screens and states, select elements, tune whole-app styling and leave contextual comments. Builder and Pro support shared workspaces; workspace builders and finished-app users have separate accounts and access flows.</w:t>
      </w:r>
    </w:p>
    <w:p>
      <w:r>
        <w:br w:type="page"/>
      </w:r>
    </w:p>
    <w:bookmarkEnd w:id="15"/>
    <w:bookmarkStart w:id="16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All plans support source browsing. Source downloads are available on Builder and Pro. An archive contains code, not app users, business data or hosting infrastructure; it is not a complete portable deployment package.</w:t>
      </w:r>
    </w:p>
    <w:bookmarkEnd w:id="16"/>
    <w:bookmarkStart w:id="17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the configured automated checks, including build and browser smoke checks. It is not a guarantee that every business workflow is correct or an independent security audit.</w:t>
      </w:r>
    </w:p>
    <w:bookmarkEnd w:id="17"/>
    <w:bookmarkStart w:id="18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Source history and publication history concern code. Restoring source or rolling back a release does not restore business data; publication rollback also depends on compatibility with applied data migrations.</w:t>
      </w:r>
    </w:p>
    <w:bookmarkEnd w:id="18"/>
    <w:bookmarkStart w:id="19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for identities, permissions and application data, is open source. This does not mean the Atomic builder itself is open source.</w:t>
      </w:r>
    </w:p>
    <w:bookmarkEnd w:id="19"/>
    <w:bookmarkStart w:id="21" w:name="what-plans-does-atomic-offer"/>
    <w:p>
      <w:pPr>
        <w:pStyle w:val="Heading2"/>
      </w:pPr>
      <w:r>
        <w:t xml:space="preserve">What plans does Atomic offer?</w:t>
      </w:r>
    </w:p>
    <w:p>
      <w:pPr>
        <w:pStyle w:val="FirstParagraph"/>
      </w:pPr>
      <w:r>
        <w:t xml:space="preserve">Free ($0), Builder at $25/month, and Pro at $50/month. Free includes 250 credits once, used at up to 50 a day. Source downloads, searchable preview logs and collaboration require Builder or Pro. Product information:</w:t>
      </w:r>
      <w:r>
        <w:t xml:space="preserve"> </w:t>
      </w:r>
      <w:hyperlink r:id="rId20">
        <w:r>
          <w:rPr>
            <w:rStyle w:val="Hyperlink"/>
          </w:rPr>
          <w:t xml:space="preserve">atomicapp.dev</w:t>
        </w:r>
      </w:hyperlink>
      <w:r>
        <w:t xml:space="preserve">.</w:t>
      </w:r>
    </w:p>
    <w:bookmarkEnd w:id="21"/>
    <w:bookmarkStart w:id="23" w:name="Xcab93dd0314f8b374085cfeb20a2e96463a8cdd"/>
    <w:p>
      <w:pPr>
        <w:pStyle w:val="Heading2"/>
      </w:pPr>
      <w:r>
        <w:t xml:space="preserve">Where are the current screenshots and films?</w:t>
      </w:r>
    </w:p>
    <w:p>
      <w:pPr>
        <w:pStyle w:val="FirstParagraph"/>
      </w:pPr>
      <w:hyperlink r:id="rId22">
        <w:r>
          <w:rPr>
            <w:rStyle w:val="Hyperlink"/>
          </w:rPr>
          <w:t xml:space="preserve">Press room and complete media kit</w:t>
        </w:r>
      </w:hyperlink>
      <w:r>
        <w:t xml:space="preserve"> </w:t>
      </w:r>
      <w:r>
        <w:t xml:space="preserve">provides 17 captioned product views, three 35-second launch-film formats and matching opening covers. Contact drasko@absmach.eu for interviews.</w:t>
      </w:r>
    </w:p>
    <w:bookmarkEnd w:id="23"/>
    <w:bookmarkEnd w:id="24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2026-10-30T16:05:58Z</dcterms:created>
  <dcterms:modified xsi:type="dcterms:W3CDTF">2026-10-30T16:05:58Z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