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  <Override PartName="/word/media/rId15.jpg" ContentType="image/jpeg"/>
  <Override PartName="/word/media/rId22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esent-atomic-clearly."/>
    <w:p>
      <w:pPr>
        <w:pStyle w:val="Heading1"/>
      </w:pPr>
      <w:r>
        <w:t xml:space="preserve">Present Atomic clearly.</w:t>
      </w:r>
    </w:p>
    <w:p>
      <w:pPr>
        <w:pStyle w:val="FirstParagraph"/>
      </w:pPr>
      <w:r>
        <w:t xml:space="preserve">Brand guide · Atomic / Abstract Machines · October 2026</w:t>
      </w:r>
    </w:p>
    <w:p>
      <w:pPr>
        <w:pStyle w:val="BodyText"/>
      </w:pPr>
      <w:r>
        <w:t xml:space="preserve">Use the full logo where space allows. Use the standalone symbol for compact placements such as avatars and icon grids.</w:t>
      </w:r>
    </w:p>
    <w:p>
      <w:pPr>
        <w:pStyle w:val="BodyText"/>
      </w:pPr>
      <w:r>
        <w:drawing>
          <wp:inline>
            <wp:extent cx="2286000" cy="615791"/>
            <wp:effectExtent b="0" l="0" r="0" t="0"/>
            <wp:docPr descr="atomic-lockup-color-2048" title="" id="10" name="Picture"/>
            <a:graphic>
              <a:graphicData uri="http://schemas.openxmlformats.org/drawingml/2006/picture">
                <pic:pic>
                  <pic:nvPicPr>
                    <pic:cNvPr descr="atomic-lockup-color-2048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1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0" cy="615791"/>
            <wp:effectExtent b="0" l="0" r="0" t="0"/>
            <wp:docPr descr="atomic-lockup-black-2048" title="" id="13" name="Picture"/>
            <a:graphic>
              <a:graphicData uri="http://schemas.openxmlformats.org/drawingml/2006/picture">
                <pic:pic>
                  <pic:nvPicPr>
                    <pic:cNvPr descr="atomic-lockup-black-2048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1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0" cy="615791"/>
            <wp:effectExtent b="0" l="0" r="0" t="0"/>
            <wp:docPr descr="atomic-lockup-white-2048" title="" id="16" name="Picture"/>
            <a:graphic>
              <a:graphicData uri="http://schemas.openxmlformats.org/drawingml/2006/picture">
                <pic:pic>
                  <pic:nvPicPr>
                    <pic:cNvPr descr="atomic-lockup-white-2048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1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" w:name="colour-and-type"/>
    <w:p>
      <w:pPr>
        <w:pStyle w:val="Heading2"/>
      </w:pPr>
      <w:r>
        <w:t xml:space="preserve">Colour and type</w:t>
      </w:r>
    </w:p>
    <w:p>
      <w:pPr>
        <w:pStyle w:val="FirstParagraph"/>
      </w:pPr>
      <w:r>
        <w:rPr>
          <w:b/>
          <w:bCs/>
        </w:rPr>
        <w:t xml:space="preserve">Logo violet</w:t>
      </w:r>
      <w:r>
        <w:t xml:space="preserve">#5959E6</w:t>
      </w:r>
    </w:p>
    <w:p>
      <w:pPr>
        <w:pStyle w:val="BodyText"/>
      </w:pPr>
      <w:r>
        <w:rPr>
          <w:b/>
          <w:bCs/>
        </w:rPr>
        <w:t xml:space="preserve">Campaign accent</w:t>
      </w:r>
      <w:r>
        <w:t xml:space="preserve">#5C32F7</w:t>
      </w:r>
    </w:p>
    <w:p>
      <w:pPr>
        <w:pStyle w:val="BodyText"/>
      </w:pPr>
      <w:r>
        <w:rPr>
          <w:b/>
          <w:bCs/>
        </w:rPr>
        <w:t xml:space="preserve">Ink</w:t>
      </w:r>
      <w:r>
        <w:t xml:space="preserve">#1F152C</w:t>
      </w:r>
    </w:p>
    <w:p>
      <w:pPr>
        <w:pStyle w:val="BodyText"/>
      </w:pPr>
      <w:r>
        <w:rPr>
          <w:b/>
          <w:bCs/>
        </w:rPr>
        <w:t xml:space="preserve">Soft background</w:t>
      </w:r>
      <w:r>
        <w:t xml:space="preserve">#F4EAFF</w:t>
      </w:r>
    </w:p>
    <w:p>
      <w:pPr>
        <w:pStyle w:val="BodyText"/>
      </w:pPr>
      <w:r>
        <w:t xml:space="preserve">Manrope is the campaign typeface. The supplied wordmark is outlined vector artwork, so recipients do not need to install the font. The logo’s canonical violet is preserved; the brighter purple is the campaign accent. The font licence is included in the assets folder.</w:t>
      </w:r>
    </w:p>
    <w:bookmarkEnd w:id="18"/>
    <w:bookmarkStart w:id="19" w:name="space-and-legibility"/>
    <w:p>
      <w:pPr>
        <w:pStyle w:val="Heading2"/>
      </w:pPr>
      <w:r>
        <w:t xml:space="preserve">Space and legibility</w:t>
      </w:r>
    </w:p>
    <w:p>
      <w:pPr>
        <w:pStyle w:val="FirstParagraph"/>
      </w:pPr>
      <w:r>
        <w:t xml:space="preserve">Leave clear space of at least half the symbol’s height around the full logo. As a practical starting point, use the full lockup at 120 pixels wide or larger, and the symbol at 24 pixels or larger. Check legibility at the final display size.</w:t>
      </w:r>
    </w:p>
    <w:bookmarkEnd w:id="19"/>
    <w:bookmarkStart w:id="20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Keep proportions and colours intact. Use the white version on a dark background and the colour or black version on a light one. Avoid stretching, outlining, adding effects or placing the mark over busy imagery. Write the product name as “Atomic” in text.</w:t>
      </w:r>
    </w:p>
    <w:p>
      <w:r>
        <w:br w:type="page"/>
      </w:r>
    </w:p>
    <w:bookmarkEnd w:id="20"/>
    <w:bookmarkStart w:id="21" w:name="which-file-should-i-use"/>
    <w:p>
      <w:pPr>
        <w:pStyle w:val="Heading2"/>
      </w:pPr>
      <w:r>
        <w:t xml:space="preserve">Which file should I use?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Best for web, digital publishing and design work. Scales cleanly; all wordmark lettering is outlined.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Transparent PNG</w:t>
            </w:r>
          </w:p>
        </w:tc>
        <w:tc>
          <w:tcPr/>
          <w:p>
            <w:pPr>
              <w:pStyle w:val="Compact"/>
            </w:pPr>
            <w:r>
              <w:t xml:space="preserve">For slides, social graphics and tools that need a bitmap. Supplied at 512 and 2048 pixels wide.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PDF</w:t>
            </w:r>
          </w:p>
        </w:tc>
        <w:tc>
          <w:tcPr/>
          <w:p>
            <w:pPr>
              <w:pStyle w:val="Compact"/>
            </w:pPr>
            <w:r>
              <w:t xml:space="preserve">For print and page-layout software. RGB artwork; a printer can handle any required colour conversion.</w:t>
            </w:r>
          </w:p>
        </w:tc>
      </w:tr>
    </w:tbl>
    <w:bookmarkEnd w:id="21"/>
    <w:bookmarkStart w:id="28" w:name="what-is-in-the-logo-folder"/>
    <w:p>
      <w:pPr>
        <w:pStyle w:val="Heading2"/>
      </w:pPr>
      <w:r>
        <w:t xml:space="preserve">What is in the logo folder?</w:t>
      </w:r>
    </w:p>
    <w:p>
      <w:pPr>
        <w:pStyle w:val="Compact"/>
        <w:numPr>
          <w:ilvl w:val="0"/>
          <w:numId w:val="1001"/>
        </w:numPr>
      </w:pPr>
      <w:r>
        <w:t xml:space="preserve">Lockup: symbol and wordmark together.</w:t>
      </w:r>
    </w:p>
    <w:p>
      <w:pPr>
        <w:pStyle w:val="Compact"/>
        <w:numPr>
          <w:ilvl w:val="0"/>
          <w:numId w:val="1001"/>
        </w:numPr>
      </w:pPr>
      <w:r>
        <w:t xml:space="preserve">Wordmark: the lettering alone.</w:t>
      </w:r>
    </w:p>
    <w:p>
      <w:pPr>
        <w:pStyle w:val="Compact"/>
        <w:numPr>
          <w:ilvl w:val="0"/>
          <w:numId w:val="1001"/>
        </w:numPr>
      </w:pPr>
      <w:r>
        <w:t xml:space="preserve">Symbol: the atom graphic alone.</w:t>
      </w:r>
    </w:p>
    <w:p>
      <w:pPr>
        <w:pStyle w:val="Compact"/>
        <w:numPr>
          <w:ilvl w:val="0"/>
          <w:numId w:val="1001"/>
        </w:numPr>
      </w:pPr>
      <w:r>
        <w:t xml:space="preserve">Each is supplied in colour, black and white.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atomic-symbol-color-2048" title="" id="23" name="Picture"/>
            <a:graphic>
              <a:graphicData uri="http://schemas.openxmlformats.org/drawingml/2006/picture">
                <pic:pic>
                  <pic:nvPicPr>
                    <pic:cNvPr descr="atomic-symbol-color-2048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0" cy="827246"/>
            <wp:effectExtent b="0" l="0" r="0" t="0"/>
            <wp:docPr descr="atomic-wordmark-color-2048" title="" id="26" name="Picture"/>
            <a:graphic>
              <a:graphicData uri="http://schemas.openxmlformats.org/drawingml/2006/picture">
                <pic:pic>
                  <pic:nvPicPr>
                    <pic:cNvPr descr="atomic-wordmark-color-2048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27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editorial-credits"/>
    <w:p>
      <w:pPr>
        <w:pStyle w:val="Heading2"/>
      </w:pPr>
      <w:r>
        <w:t xml:space="preserve">Editorial credits</w:t>
      </w:r>
    </w:p>
    <w:p>
      <w:pPr>
        <w:pStyle w:val="FirstParagraph"/>
      </w:pPr>
      <w:r>
        <w:t xml:space="preserve">Suggested credit for product screenshots and campaign artwork: “Courtesy of Atomic / Abstract Machines.” Suggested credit for team portraits: “Courtesy of Abstract Machines.” The kit does not identify individual photographers.</w:t>
      </w:r>
    </w:p>
    <w:p>
      <w:pPr>
        <w:pStyle w:val="BodyText"/>
      </w:pPr>
      <w:r>
        <w:t xml:space="preserve">Sample-app photographs appear within product screenshots. Those screenshots are supplied to illustrate Atomic; the embedded photographs are not supplied as separate stock assets. Preserve context and avoid implying the sample businesses are customers.</w:t>
      </w:r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image" Id="rId22" Target="media/rId22.jpg" /><Relationship Type="http://schemas.openxmlformats.org/officeDocument/2006/relationships/image" Id="rId25" Target="media/rId2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2026-10-29T22:31:37Z</dcterms:created>
  <dcterms:modified xsi:type="dcterms:W3CDTF">2026-10-29T22:31:37Z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