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Subcontract Agreement</w:t>
      </w:r>
    </w:p>
    <w:p>
      <w:r>
        <w:t>This Agreement is made between General Contractor Inc. ("GC") and Associated Building Specialties ("Subcontractor").</w:t>
      </w:r>
    </w:p>
    <w:p>
      <w:pPr>
        <w:pStyle w:val="Heading1"/>
      </w:pPr>
      <w:r>
        <w:t>1. Indemnification</w:t>
      </w:r>
    </w:p>
    <w:p>
      <w:r>
        <w:t>Subcontractor shall indemnify GC against any and all claims, regardless of negligence.</w:t>
      </w:r>
    </w:p>
    <w:p>
      <w:pPr>
        <w:pStyle w:val="Heading1"/>
      </w:pPr>
      <w:r>
        <w:t>2. Payment</w:t>
      </w:r>
    </w:p>
    <w:p>
      <w:r>
        <w:t>Payment shall be made within 7 days after GC receives payment from Owner (Pay-if-Paid).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