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rFonts w:ascii="Arial" w:hAnsi="Arial"/>
          <w:b/>
          <w:sz w:val="48"/>
        </w:rPr>
        <w:t>DISNEY</w:t>
      </w:r>
    </w:p>
    <w:p>
      <w:pPr>
        <w:spacing w:after="60"/>
      </w:pPr>
      <w:r>
        <w:rPr>
          <w:rFonts w:ascii="Arial" w:hAnsi="Arial"/>
        </w:rPr>
        <w:t>DIRECT-TO-CONSUMER TRANSFORMATION</w:t>
      </w:r>
    </w:p>
    <w:p>
      <w:pPr>
        <w:spacing w:after="60"/>
      </w:pPr>
      <w:r>
        <w:rPr>
          <w:rFonts w:ascii="Arial" w:hAnsi="Arial"/>
        </w:rPr>
        <w:t>WEEK 6 · TEAM 3 · FINAL ROADMAP + GOVERNANCE RACI</w:t>
      </w:r>
    </w:p>
    <w:p>
      <w:pPr>
        <w:spacing w:after="60"/>
      </w:pPr>
      <w:r>
        <w:rPr>
          <w:rFonts w:ascii="Arial" w:hAnsi="Arial"/>
        </w:rPr>
        <w:t>Adoption is ahead. The operating model must catch up.</w:t>
      </w:r>
    </w:p>
    <w:p>
      <w:pPr>
        <w:spacing w:after="60"/>
      </w:pPr>
      <w:r>
        <w:rPr>
          <w:rFonts w:ascii="Arial" w:hAnsi="Arial"/>
        </w:rPr>
        <w:t>Case window: Disney fiscal Q4 FY2017 - Q1 FY2021 (Aug 2017 - Nov 2020)</w:t>
      </w:r>
    </w:p>
    <w:tbl>
      <w:tblPr>
        <w:tblW w:type="auto" w:w="0"/>
        <w:jc w:val="center"/>
        <w:tblLayout w:type="autofit"/>
        <w:tblLook w:firstColumn="1" w:firstRow="1" w:lastColumn="0" w:lastRow="0" w:noHBand="0" w:noVBand="1" w:val="04A0"/>
      </w:tblPr>
      <w:tblGrid>
        <w:gridCol w:w="7272"/>
        <w:gridCol w:w="7272"/>
      </w:tblGrid>
      <w:tr>
        <w:trPr>
          <w:tblHeader w:val="true"/>
        </w:trPr>
        <w:tc>
          <w:tcPr>
            <w:tcW w:type="dxa" w:w="7272"/>
            <w:vAlign w:val="top"/>
            <w:shd w:fill="173B6D"/>
          </w:tcPr>
          <w:p>
            <w:pPr>
              <w:spacing w:after="0" w:line="240" w:lineRule="auto"/>
            </w:pPr>
            <w:r>
              <w:rPr>
                <w:rFonts w:ascii="Arial" w:hAnsi="Arial"/>
                <w:b/>
                <w:color w:val="FFFFFF"/>
                <w:sz w:val="14"/>
              </w:rPr>
              <w:t>TEAM MEMBER</w:t>
            </w:r>
          </w:p>
        </w:tc>
        <w:tc>
          <w:tcPr>
            <w:tcW w:type="dxa" w:w="7272"/>
            <w:vAlign w:val="top"/>
            <w:shd w:fill="173B6D"/>
          </w:tcPr>
          <w:p>
            <w:pPr>
              <w:spacing w:after="0" w:line="240" w:lineRule="auto"/>
            </w:pPr>
            <w:r>
              <w:rPr>
                <w:rFonts w:ascii="Arial" w:hAnsi="Arial"/>
                <w:b/>
                <w:color w:val="FFFFFF"/>
                <w:sz w:val="14"/>
              </w:rPr>
              <w:t>ROLE</w:t>
            </w:r>
          </w:p>
        </w:tc>
      </w:tr>
      <w:tr>
        <w:tc>
          <w:tcPr>
            <w:tcW w:type="dxa" w:w="7272"/>
            <w:vAlign w:val="top"/>
          </w:tcPr>
          <w:p>
            <w:pPr>
              <w:spacing w:after="0" w:line="240" w:lineRule="auto"/>
            </w:pPr>
            <w:r>
              <w:rPr>
                <w:rFonts w:ascii="Arial" w:hAnsi="Arial"/>
                <w:sz w:val="14"/>
              </w:rPr>
              <w:t>Dimitrius Pacheco</w:t>
            </w:r>
          </w:p>
        </w:tc>
        <w:tc>
          <w:tcPr>
            <w:tcW w:type="dxa" w:w="7272"/>
            <w:vAlign w:val="top"/>
          </w:tcPr>
          <w:p>
            <w:pPr>
              <w:spacing w:after="0" w:line="240" w:lineRule="auto"/>
            </w:pPr>
            <w:r>
              <w:rPr>
                <w:rFonts w:ascii="Arial" w:hAnsi="Arial"/>
                <w:sz w:val="14"/>
              </w:rPr>
              <w:t>Member A · Roadmap Sequencer</w:t>
            </w:r>
          </w:p>
        </w:tc>
      </w:tr>
      <w:tr>
        <w:tc>
          <w:tcPr>
            <w:tcW w:type="dxa" w:w="7272"/>
            <w:vAlign w:val="top"/>
            <w:shd w:fill="F3F6FA"/>
          </w:tcPr>
          <w:p>
            <w:pPr>
              <w:spacing w:after="0" w:line="240" w:lineRule="auto"/>
            </w:pPr>
            <w:r>
              <w:rPr>
                <w:rFonts w:ascii="Arial" w:hAnsi="Arial"/>
                <w:sz w:val="14"/>
              </w:rPr>
              <w:t>Keagan Smith</w:t>
            </w:r>
          </w:p>
        </w:tc>
        <w:tc>
          <w:tcPr>
            <w:tcW w:type="dxa" w:w="7272"/>
            <w:vAlign w:val="top"/>
            <w:shd w:fill="F3F6FA"/>
          </w:tcPr>
          <w:p>
            <w:pPr>
              <w:spacing w:after="0" w:line="240" w:lineRule="auto"/>
            </w:pPr>
            <w:r>
              <w:rPr>
                <w:rFonts w:ascii="Arial" w:hAnsi="Arial"/>
                <w:sz w:val="14"/>
              </w:rPr>
              <w:t>Member B · Governance Designer</w:t>
            </w:r>
          </w:p>
        </w:tc>
      </w:tr>
      <w:tr>
        <w:tc>
          <w:tcPr>
            <w:tcW w:type="dxa" w:w="7272"/>
            <w:vAlign w:val="top"/>
          </w:tcPr>
          <w:p>
            <w:pPr>
              <w:spacing w:after="0" w:line="240" w:lineRule="auto"/>
            </w:pPr>
            <w:r>
              <w:rPr>
                <w:rFonts w:ascii="Arial" w:hAnsi="Arial"/>
                <w:sz w:val="14"/>
              </w:rPr>
              <w:t>Tiago Farinas</w:t>
            </w:r>
          </w:p>
        </w:tc>
        <w:tc>
          <w:tcPr>
            <w:tcW w:type="dxa" w:w="7272"/>
            <w:vAlign w:val="top"/>
          </w:tcPr>
          <w:p>
            <w:pPr>
              <w:spacing w:after="0" w:line="240" w:lineRule="auto"/>
            </w:pPr>
            <w:r>
              <w:rPr>
                <w:rFonts w:ascii="Arial" w:hAnsi="Arial"/>
                <w:sz w:val="14"/>
              </w:rPr>
              <w:t>Member C · Dashboard Designer</w:t>
            </w:r>
          </w:p>
        </w:tc>
      </w:tr>
      <w:tr>
        <w:tc>
          <w:tcPr>
            <w:tcW w:type="dxa" w:w="7272"/>
            <w:vAlign w:val="top"/>
            <w:shd w:fill="F3F6FA"/>
          </w:tcPr>
          <w:p>
            <w:pPr>
              <w:spacing w:after="0" w:line="240" w:lineRule="auto"/>
            </w:pPr>
            <w:r>
              <w:rPr>
                <w:rFonts w:ascii="Arial" w:hAnsi="Arial"/>
                <w:sz w:val="14"/>
              </w:rPr>
              <w:t>Mahdin Awsaf Chowdhury</w:t>
            </w:r>
          </w:p>
        </w:tc>
        <w:tc>
          <w:tcPr>
            <w:tcW w:type="dxa" w:w="7272"/>
            <w:vAlign w:val="top"/>
            <w:shd w:fill="F3F6FA"/>
          </w:tcPr>
          <w:p>
            <w:pPr>
              <w:spacing w:after="0" w:line="240" w:lineRule="auto"/>
            </w:pPr>
            <w:r>
              <w:rPr>
                <w:rFonts w:ascii="Arial" w:hAnsi="Arial"/>
                <w:sz w:val="14"/>
              </w:rPr>
              <w:t>Evidence + Verification · supporting cross-review role</w:t>
            </w:r>
          </w:p>
        </w:tc>
      </w:tr>
    </w:tbl>
    <w:p>
      <w:pPr>
        <w:spacing w:after="40"/>
      </w:pPr>
    </w:p>
    <w:p>
      <w:pPr>
        <w:spacing w:after="60"/>
      </w:pPr>
      <w:r>
        <w:rPr>
          <w:rFonts w:ascii="Arial" w:hAnsi="Arial"/>
        </w:rPr>
        <w:t>Submission architecture</w:t>
      </w:r>
    </w:p>
    <w:p>
      <w:pPr>
        <w:spacing w:after="60"/>
      </w:pPr>
      <w:r>
        <w:rPr>
          <w:rFonts w:ascii="Arial" w:hAnsi="Arial"/>
        </w:rPr>
        <w:t>Deliverable 1: Transformation Roadmap  |  Deliverable 2: Governance RACI  |  Deliverable 3: one-page QBR Dashboard (separate HTML)</w:t>
      </w:r>
    </w:p>
    <w:p>
      <w:pPr>
        <w:spacing w:after="60"/>
      </w:pPr>
      <w:r>
        <w:rPr>
          <w:rFonts w:ascii="Arial" w:hAnsi="Arial"/>
        </w:rPr>
        <w:t>WEEK 6 · DELIVERABLE 1 · TRANSFORMATION ROADMAP (CRAWL / WALK / RUN)</w:t>
      </w:r>
    </w:p>
    <w:p>
      <w:pPr>
        <w:spacing w:after="60"/>
      </w:pPr>
      <w:r>
        <w:rPr>
          <w:rFonts w:ascii="Arial" w:hAnsi="Arial"/>
        </w:rPr>
        <w:t>Disney: Direct-to-Consumer Transformation Roadmap</w:t>
      </w:r>
    </w:p>
    <w:p>
      <w:pPr>
        <w:spacing w:after="60"/>
      </w:pPr>
      <w:r>
        <w:rPr>
          <w:rFonts w:ascii="Arial" w:hAnsi="Arial"/>
        </w:rPr>
        <w:t>Member A · Roadmap Sequencer: Dimitrius  ·  Member B · Governance Designer: Keagan  ·  Member C · Dashboard Designer: Tiago  ·  Case window: Disney fiscal Q4 FY2017 – Q1 FY2021 (Aug 2017 – Nov 2020)</w:t>
      </w:r>
    </w:p>
    <w:p>
      <w:pPr>
        <w:spacing w:after="60"/>
      </w:pPr>
      <w:r>
        <w:rPr>
          <w:rFonts w:ascii="Arial" w:hAnsi="Arial"/>
        </w:rPr>
        <w:t>Thesis. Disney+ was the output, not the transformation. Disney bought a streaming platform (I1), rewired who decides and who absorbs the losses (I2), proved the model in three bounded deployments (I3–I5), then scaled it abroad (I6) and reorganized the enterprise around it (I7).</w:t>
      </w:r>
    </w:p>
    <w:p>
      <w:pPr>
        <w:pStyle w:val="Heading1"/>
        <w:spacing w:after="60"/>
      </w:pPr>
      <w:r>
        <w:rPr>
          <w:rFonts w:ascii="Arial" w:hAnsi="Arial"/>
        </w:rPr>
        <w:t>1. Case selection (Member A proposal)</w:t>
      </w:r>
    </w:p>
    <w:p>
      <w:pPr>
        <w:spacing w:after="60"/>
      </w:pPr>
      <w:r>
        <w:rPr>
          <w:rFonts w:ascii="Arial" w:hAnsi="Arial"/>
        </w:rPr>
        <w:t>Selection test from the brief: enough public detail for six to eight specific, dated initiatives.</w:t>
      </w:r>
    </w:p>
    <w:tbl>
      <w:tblPr>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vAlign w:val="top"/>
            <w:shd w:fill="173B6D"/>
          </w:tcPr>
          <w:p>
            <w:pPr>
              <w:spacing w:after="0" w:line="240" w:lineRule="auto"/>
            </w:pPr>
            <w:r>
              <w:rPr>
                <w:rFonts w:ascii="Arial" w:hAnsi="Arial"/>
                <w:b/>
                <w:color w:val="FFFFFF"/>
                <w:sz w:val="14"/>
              </w:rPr>
              <w:t>Candidate</w:t>
            </w:r>
          </w:p>
        </w:tc>
        <w:tc>
          <w:tcPr>
            <w:tcW w:type="dxa" w:w="3636"/>
            <w:vAlign w:val="top"/>
            <w:shd w:fill="173B6D"/>
          </w:tcPr>
          <w:p>
            <w:pPr>
              <w:spacing w:after="0" w:line="240" w:lineRule="auto"/>
            </w:pPr>
            <w:r>
              <w:rPr>
                <w:rFonts w:ascii="Arial" w:hAnsi="Arial"/>
                <w:b/>
                <w:color w:val="FFFFFF"/>
                <w:sz w:val="14"/>
              </w:rPr>
              <w:t>Source base</w:t>
            </w:r>
          </w:p>
        </w:tc>
        <w:tc>
          <w:tcPr>
            <w:tcW w:type="dxa" w:w="3636"/>
            <w:vAlign w:val="top"/>
            <w:shd w:fill="173B6D"/>
          </w:tcPr>
          <w:p>
            <w:pPr>
              <w:spacing w:after="0" w:line="240" w:lineRule="auto"/>
            </w:pPr>
            <w:r>
              <w:rPr>
                <w:rFonts w:ascii="Arial" w:hAnsi="Arial"/>
                <w:b/>
                <w:color w:val="FFFFFF"/>
                <w:sz w:val="14"/>
              </w:rPr>
              <w:t>Rationale</w:t>
            </w:r>
          </w:p>
        </w:tc>
        <w:tc>
          <w:tcPr>
            <w:tcW w:type="dxa" w:w="3636"/>
            <w:vAlign w:val="top"/>
            <w:shd w:fill="173B6D"/>
          </w:tcPr>
          <w:p>
            <w:pPr>
              <w:spacing w:after="0" w:line="240" w:lineRule="auto"/>
            </w:pPr>
            <w:r>
              <w:rPr>
                <w:rFonts w:ascii="Arial" w:hAnsi="Arial"/>
                <w:b/>
                <w:color w:val="FFFFFF"/>
                <w:sz w:val="14"/>
              </w:rPr>
              <w:t>Decision</w:t>
            </w:r>
          </w:p>
        </w:tc>
      </w:tr>
      <w:tr>
        <w:tc>
          <w:tcPr>
            <w:tcW w:type="dxa" w:w="3636"/>
            <w:vAlign w:val="top"/>
          </w:tcPr>
          <w:p>
            <w:pPr>
              <w:spacing w:after="0" w:line="240" w:lineRule="auto"/>
            </w:pPr>
            <w:r>
              <w:rPr>
                <w:rFonts w:ascii="Arial" w:hAnsi="Arial"/>
                <w:sz w:val="14"/>
              </w:rPr>
              <w:t>The Walt Disney Company (DTC transformation, 2017–2020)</w:t>
            </w:r>
          </w:p>
        </w:tc>
        <w:tc>
          <w:tcPr>
            <w:tcW w:type="dxa" w:w="3636"/>
            <w:vAlign w:val="top"/>
          </w:tcPr>
          <w:p>
            <w:pPr>
              <w:spacing w:after="0" w:line="240" w:lineRule="auto"/>
            </w:pPr>
            <w:r>
              <w:rPr>
                <w:rFonts w:ascii="Arial" w:hAnsi="Arial"/>
                <w:sz w:val="14"/>
              </w:rPr>
              <w:t>Form 10-K filings FY2018–FY2020; Investor Day transcript (Apr 11, 2019); quarterly earnings releases filed with the SEC</w:t>
            </w:r>
          </w:p>
        </w:tc>
        <w:tc>
          <w:tcPr>
            <w:tcW w:type="dxa" w:w="3636"/>
            <w:vAlign w:val="top"/>
          </w:tcPr>
          <w:p>
            <w:pPr>
              <w:spacing w:after="0" w:line="240" w:lineRule="auto"/>
            </w:pPr>
            <w:r>
              <w:rPr>
                <w:rFonts w:ascii="Arial" w:hAnsi="Arial"/>
                <w:sz w:val="14"/>
              </w:rPr>
              <w:t>Each initiative has a name, a date and an owner in the filings. Paid-subscriber counts, disclosed quarterly, give dated readiness signals for every Walk initiative. The arc is complete, so every outcome can be checked rather than forecast.</w:t>
            </w:r>
          </w:p>
        </w:tc>
        <w:tc>
          <w:tcPr>
            <w:tcW w:type="dxa" w:w="3636"/>
            <w:vAlign w:val="top"/>
          </w:tcPr>
          <w:p>
            <w:pPr>
              <w:spacing w:after="0" w:line="240" w:lineRule="auto"/>
            </w:pPr>
            <w:r>
              <w:rPr>
                <w:rFonts w:ascii="Arial" w:hAnsi="Arial"/>
                <w:sz w:val="14"/>
              </w:rPr>
              <w:t>Selected. Trade-off: the arc is 6–9 years old, older than the brief's 2–5-year sweet spot (see §8).</w:t>
            </w:r>
          </w:p>
        </w:tc>
      </w:tr>
      <w:tr>
        <w:tc>
          <w:tcPr>
            <w:tcW w:type="dxa" w:w="3636"/>
            <w:vAlign w:val="top"/>
            <w:shd w:fill="F3F6FA"/>
          </w:tcPr>
          <w:p>
            <w:pPr>
              <w:spacing w:after="0" w:line="240" w:lineRule="auto"/>
            </w:pPr>
            <w:r>
              <w:rPr>
                <w:rFonts w:ascii="Arial" w:hAnsi="Arial"/>
                <w:sz w:val="14"/>
              </w:rPr>
              <w:t>Microsoft (2014–2020 under Nadella)</w:t>
            </w:r>
          </w:p>
        </w:tc>
        <w:tc>
          <w:tcPr>
            <w:tcW w:type="dxa" w:w="3636"/>
            <w:vAlign w:val="top"/>
            <w:shd w:fill="F3F6FA"/>
          </w:tcPr>
          <w:p>
            <w:pPr>
              <w:spacing w:after="0" w:line="240" w:lineRule="auto"/>
            </w:pPr>
            <w:r>
              <w:rPr>
                <w:rFonts w:ascii="Arial" w:hAnsi="Arial"/>
                <w:sz w:val="14"/>
              </w:rPr>
              <w:t>Annual reports and shareholder letters; developer-conference keynotes; business-school cases</w:t>
            </w:r>
          </w:p>
        </w:tc>
        <w:tc>
          <w:tcPr>
            <w:tcW w:type="dxa" w:w="3636"/>
            <w:vAlign w:val="top"/>
            <w:shd w:fill="F3F6FA"/>
          </w:tcPr>
          <w:p>
            <w:pPr>
              <w:spacing w:after="0" w:line="240" w:lineRule="auto"/>
            </w:pPr>
            <w:r>
              <w:rPr>
                <w:rFonts w:ascii="Arial" w:hAnsi="Arial"/>
                <w:sz w:val="14"/>
              </w:rPr>
              <w:t>Strong, well-documented case on the brief's list. The cloud-first shift, the move of Office to subscription and the culture reset overlap in time, so a dependency-based Crawl/Walk/Run would be harder to evidence from dated public sources.</w:t>
            </w:r>
          </w:p>
        </w:tc>
        <w:tc>
          <w:tcPr>
            <w:tcW w:type="dxa" w:w="3636"/>
            <w:vAlign w:val="top"/>
            <w:shd w:fill="F3F6FA"/>
          </w:tcPr>
          <w:p>
            <w:pPr>
              <w:spacing w:after="0" w:line="240" w:lineRule="auto"/>
            </w:pPr>
            <w:r>
              <w:rPr>
                <w:rFonts w:ascii="Arial" w:hAnsi="Arial"/>
                <w:sz w:val="14"/>
              </w:rPr>
              <w:t>Not selected</w:t>
            </w:r>
          </w:p>
        </w:tc>
      </w:tr>
      <w:tr>
        <w:tc>
          <w:tcPr>
            <w:tcW w:type="dxa" w:w="3636"/>
            <w:vAlign w:val="top"/>
          </w:tcPr>
          <w:p>
            <w:pPr>
              <w:spacing w:after="0" w:line="240" w:lineRule="auto"/>
            </w:pPr>
            <w:r>
              <w:rPr>
                <w:rFonts w:ascii="Arial" w:hAnsi="Arial"/>
                <w:sz w:val="14"/>
              </w:rPr>
              <w:t>DBS Bank (Singapore)</w:t>
            </w:r>
          </w:p>
        </w:tc>
        <w:tc>
          <w:tcPr>
            <w:tcW w:type="dxa" w:w="3636"/>
            <w:vAlign w:val="top"/>
          </w:tcPr>
          <w:p>
            <w:pPr>
              <w:spacing w:after="0" w:line="240" w:lineRule="auto"/>
            </w:pPr>
            <w:r>
              <w:rPr>
                <w:rFonts w:ascii="Arial" w:hAnsi="Arial"/>
                <w:sz w:val="14"/>
              </w:rPr>
              <w:t>Annual reports; published case studies</w:t>
            </w:r>
          </w:p>
        </w:tc>
        <w:tc>
          <w:tcPr>
            <w:tcW w:type="dxa" w:w="3636"/>
            <w:vAlign w:val="top"/>
          </w:tcPr>
          <w:p>
            <w:pPr>
              <w:spacing w:after="0" w:line="240" w:lineRule="auto"/>
            </w:pPr>
            <w:r>
              <w:rPr>
                <w:rFonts w:ascii="Arial" w:hAnsi="Arial"/>
                <w:sz w:val="14"/>
              </w:rPr>
              <w:t>On the brief's list, with a well-documented digital transformation. Fewer quarterly, initiative-level metrics in public filings than Disney's paid-subscriber disclosures, so Walk readiness signals would be harder to date.</w:t>
            </w:r>
          </w:p>
        </w:tc>
        <w:tc>
          <w:tcPr>
            <w:tcW w:type="dxa" w:w="3636"/>
            <w:vAlign w:val="top"/>
          </w:tcPr>
          <w:p>
            <w:pPr>
              <w:spacing w:after="0" w:line="240" w:lineRule="auto"/>
            </w:pPr>
            <w:r>
              <w:rPr>
                <w:rFonts w:ascii="Arial" w:hAnsi="Arial"/>
                <w:sz w:val="14"/>
              </w:rPr>
              <w:t>Not selected</w:t>
            </w:r>
          </w:p>
        </w:tc>
      </w:tr>
    </w:tbl>
    <w:p>
      <w:pPr>
        <w:spacing w:after="40"/>
      </w:pPr>
    </w:p>
    <w:p>
      <w:pPr>
        <w:pStyle w:val="Heading1"/>
        <w:spacing w:after="60"/>
      </w:pPr>
      <w:r>
        <w:rPr>
          <w:rFonts w:ascii="Arial" w:hAnsi="Arial"/>
        </w:rPr>
        <w:t>2. Shared initiative list (Phase 1)</w:t>
      </w:r>
    </w:p>
    <w:p>
      <w:pPr>
        <w:spacing w:after="60"/>
      </w:pPr>
      <w:r>
        <w:rPr>
          <w:rFonts w:ascii="Arial" w:hAnsi="Arial"/>
        </w:rPr>
        <w:t>Agreed by all members before drafting. IDs I1–I7 are used identically in the RACI and the dashboard.</w:t>
      </w:r>
    </w:p>
    <w:p>
      <w:pPr>
        <w:spacing w:after="60"/>
      </w:pPr>
      <w:r>
        <w:rPr>
          <w:rFonts w:ascii="Arial" w:hAnsi="Arial"/>
        </w:rPr>
        <w:t>I1 · BAMTech Majority Control (Aug 2017; 75% owned from Sep 25, 2017): delivered an owned streaming, subscription-billing and consumer-data technology stack.</w:t>
      </w:r>
    </w:p>
    <w:p>
      <w:pPr>
        <w:spacing w:after="60"/>
      </w:pPr>
      <w:r>
        <w:rPr>
          <w:rFonts w:ascii="Arial" w:hAnsi="Arial"/>
        </w:rPr>
        <w:t>I2 · DTCI Segment Creation (Mar 14, 2018): delivered one decision owner (Chairman, DTCI) and one P&amp;L for the DTC businesses.</w:t>
      </w:r>
    </w:p>
    <w:p>
      <w:pPr>
        <w:spacing w:after="60"/>
      </w:pPr>
      <w:r>
        <w:rPr>
          <w:rFonts w:ascii="Arial" w:hAnsi="Arial"/>
        </w:rPr>
        <w:t>I3 · ESPN+ Launch (Apr 12, 2018): delivered Disney's first paid subscription-video service on the owned stack, in the US, sports only.</w:t>
      </w:r>
    </w:p>
    <w:p>
      <w:pPr>
        <w:spacing w:after="60"/>
      </w:pPr>
      <w:r>
        <w:rPr>
          <w:rFonts w:ascii="Arial" w:hAnsi="Arial"/>
        </w:rPr>
        <w:t>I4 · Hulu Operational Control (May 14, 2019): delivered full operational control of a second, general-entertainment brand inside the DTC portfolio.</w:t>
      </w:r>
    </w:p>
    <w:p>
      <w:pPr>
        <w:spacing w:after="60"/>
      </w:pPr>
      <w:r>
        <w:rPr>
          <w:rFonts w:ascii="Arial" w:hAnsi="Arial"/>
        </w:rPr>
        <w:t>I5 · Disney+ Initial Launch (Nov 12, 2019): delivered the flagship service in five markets.</w:t>
      </w:r>
    </w:p>
    <w:p>
      <w:pPr>
        <w:spacing w:after="60"/>
      </w:pPr>
      <w:r>
        <w:rPr>
          <w:rFonts w:ascii="Arial" w:hAnsi="Arial"/>
        </w:rPr>
        <w:t>I6 · Disney+ Global Expansion (Mar 24 – Nov 17, 2020): delivered Disney+ in Europe, India (Disney+ Hotstar), Japan and Latin America.</w:t>
      </w:r>
    </w:p>
    <w:p>
      <w:pPr>
        <w:spacing w:after="60"/>
      </w:pPr>
      <w:r>
        <w:rPr>
          <w:rFonts w:ascii="Arial" w:hAnsi="Arial"/>
        </w:rPr>
        <w:t>I7 · Enterprise DTC Reorganization (Oct 12, 2020): delivered a company structure that separates content creation from distribution and monetization.</w:t>
      </w:r>
    </w:p>
    <w:p>
      <w:pPr>
        <w:spacing w:after="60"/>
      </w:pPr>
      <w:r>
        <w:rPr>
          <w:rFonts w:ascii="Arial" w:hAnsi="Arial"/>
        </w:rPr>
        <w:t>E1 · 21st Century Fox acquisition (closed Mar 20, 2019): external enabler, not an initiative; supplies the Hulu stake (I4) and Star India / Hotstar (I6).</w:t>
      </w:r>
    </w:p>
    <w:p>
      <w:pPr>
        <w:pStyle w:val="Heading1"/>
        <w:spacing w:after="60"/>
      </w:pPr>
      <w:r>
        <w:rPr>
          <w:rFonts w:ascii="Arial" w:hAnsi="Arial"/>
        </w:rPr>
        <w:t>3. Transformation Roadmap: Crawl / Walk / Run with dependency annotations</w:t>
      </w:r>
    </w:p>
    <w:p>
      <w:pPr>
        <w:keepNext/>
        <w:jc w:val="center"/>
      </w:pPr>
      <w:r>
        <w:drawing>
          <wp:inline xmlns:a="http://schemas.openxmlformats.org/drawingml/2006/main" xmlns:pic="http://schemas.openxmlformats.org/drawingml/2006/picture">
            <wp:extent cx="9144000" cy="3609473"/>
            <wp:docPr id="2" name="Picture 2" descr="Figure 1: Crawl/Walk/Run swimlane with labelled dependency arrows"/>
            <wp:cNvGraphicFramePr>
              <a:graphicFrameLocks noChangeAspect="1"/>
            </wp:cNvGraphicFramePr>
            <a:graphic>
              <a:graphicData uri="http://schemas.openxmlformats.org/drawingml/2006/picture">
                <pic:pic>
                  <pic:nvPicPr>
                    <pic:cNvPr id="0" name="Disney_Roadmap_Swimlane.png"/>
                    <pic:cNvPicPr/>
                  </pic:nvPicPr>
                  <pic:blipFill>
                    <a:blip r:embed="rId11"/>
                    <a:stretch>
                      <a:fillRect/>
                    </a:stretch>
                  </pic:blipFill>
                  <pic:spPr>
                    <a:xfrm>
                      <a:off x="0" y="0"/>
                      <a:ext cx="9144000" cy="3609473"/>
                    </a:xfrm>
                    <a:prstGeom prst="rect"/>
                  </pic:spPr>
                </pic:pic>
              </a:graphicData>
            </a:graphic>
          </wp:inline>
        </w:drawing>
      </w:r>
    </w:p>
    <w:p>
      <w:pPr>
        <w:spacing w:after="120"/>
      </w:pPr>
      <w:r>
        <w:rPr>
          <w:rFonts w:ascii="Arial" w:hAnsi="Arial"/>
          <w:b/>
          <w:sz w:val="18"/>
        </w:rPr>
        <w:t xml:space="preserve">Figure 1. Crawl / Walk / Run swimlane. </w:t>
      </w:r>
      <w:r>
        <w:rPr>
          <w:rFonts w:ascii="Arial" w:hAnsi="Arial"/>
          <w:sz w:val="18"/>
        </w:rPr>
        <w:t>Initiatives sit in their phase column and capability lane. Each arrow names both endpoints and the capability enabled; numbers match the dependency table in §5, and line style shows strength (hard, economic, organizational). E1 is an external precondition, not an initiative.</w:t>
      </w:r>
    </w:p>
    <w:p>
      <w:r>
        <w:br w:type="page"/>
      </w:r>
    </w:p>
    <w:p>
      <w:pPr>
        <w:pStyle w:val="Heading1"/>
        <w:spacing w:after="60"/>
      </w:pPr>
      <w:r>
        <w:rPr>
          <w:rFonts w:ascii="Arial" w:hAnsi="Arial"/>
        </w:rPr>
        <w:t>4. Initiative detail by phase</w:t>
      </w:r>
    </w:p>
    <w:p>
      <w:pPr>
        <w:spacing w:after="60"/>
      </w:pPr>
      <w:r>
        <w:rPr>
          <w:rFonts w:ascii="Arial" w:hAnsi="Arial"/>
        </w:rPr>
        <w:t>Each table carries exactly the fields the brief requires for that phase. Quarters are Disney fiscal quarters; the fiscal year ends on the Saturday nearest Sep 30.</w:t>
      </w:r>
    </w:p>
    <w:p>
      <w:pPr>
        <w:pStyle w:val="Heading2"/>
        <w:spacing w:after="60"/>
      </w:pPr>
      <w:r>
        <w:rPr>
          <w:rFonts w:ascii="Arial" w:hAnsi="Arial"/>
        </w:rPr>
        <w:t>Crawl: foundation · Q4 FY2017 – Q2 FY2018 (about 7 months, within the 6–12-month window)</w:t>
      </w:r>
    </w:p>
    <w:tbl>
      <w:tblPr>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vAlign w:val="top"/>
            <w:shd w:fill="173B6D"/>
          </w:tcPr>
          <w:p>
            <w:pPr>
              <w:spacing w:after="0" w:line="240" w:lineRule="auto"/>
            </w:pPr>
            <w:r>
              <w:rPr>
                <w:rFonts w:ascii="Arial" w:hAnsi="Arial"/>
                <w:b/>
                <w:color w:val="FFFFFF"/>
                <w:sz w:val="14"/>
              </w:rPr>
              <w:t>Initiative</w:t>
            </w:r>
          </w:p>
        </w:tc>
        <w:tc>
          <w:tcPr>
            <w:tcW w:type="dxa" w:w="3636"/>
            <w:vAlign w:val="top"/>
            <w:shd w:fill="173B6D"/>
          </w:tcPr>
          <w:p>
            <w:pPr>
              <w:spacing w:after="0" w:line="240" w:lineRule="auto"/>
            </w:pPr>
            <w:r>
              <w:rPr>
                <w:rFonts w:ascii="Arial" w:hAnsi="Arial"/>
                <w:b/>
                <w:color w:val="FFFFFF"/>
                <w:sz w:val="14"/>
              </w:rPr>
              <w:t>Quarter range</w:t>
            </w:r>
          </w:p>
        </w:tc>
        <w:tc>
          <w:tcPr>
            <w:tcW w:type="dxa" w:w="3636"/>
            <w:vAlign w:val="top"/>
            <w:shd w:fill="173B6D"/>
          </w:tcPr>
          <w:p>
            <w:pPr>
              <w:spacing w:after="0" w:line="240" w:lineRule="auto"/>
            </w:pPr>
            <w:r>
              <w:rPr>
                <w:rFonts w:ascii="Arial" w:hAnsi="Arial"/>
                <w:b/>
                <w:color w:val="FFFFFF"/>
                <w:sz w:val="14"/>
              </w:rPr>
              <w:t>Capability created</w:t>
            </w:r>
          </w:p>
        </w:tc>
        <w:tc>
          <w:tcPr>
            <w:tcW w:type="dxa" w:w="3636"/>
            <w:vAlign w:val="top"/>
            <w:shd w:fill="173B6D"/>
          </w:tcPr>
          <w:p>
            <w:pPr>
              <w:spacing w:after="0" w:line="240" w:lineRule="auto"/>
            </w:pPr>
            <w:r>
              <w:rPr>
                <w:rFonts w:ascii="Arial" w:hAnsi="Arial"/>
                <w:b/>
                <w:color w:val="FFFFFF"/>
                <w:sz w:val="14"/>
              </w:rPr>
              <w:t>Walk initiatives that depend on it</w:t>
            </w:r>
          </w:p>
        </w:tc>
      </w:tr>
      <w:tr>
        <w:tc>
          <w:tcPr>
            <w:tcW w:type="dxa" w:w="3636"/>
            <w:vAlign w:val="top"/>
          </w:tcPr>
          <w:p>
            <w:pPr>
              <w:spacing w:after="0" w:line="240" w:lineRule="auto"/>
            </w:pPr>
            <w:r>
              <w:rPr>
                <w:rFonts w:ascii="Arial" w:hAnsi="Arial"/>
                <w:sz w:val="14"/>
              </w:rPr>
              <w:t>I1 · BAMTech Majority Control</w:t>
            </w:r>
          </w:p>
        </w:tc>
        <w:tc>
          <w:tcPr>
            <w:tcW w:type="dxa" w:w="3636"/>
            <w:vAlign w:val="top"/>
          </w:tcPr>
          <w:p>
            <w:pPr>
              <w:spacing w:after="0" w:line="240" w:lineRule="auto"/>
            </w:pPr>
            <w:r>
              <w:rPr>
                <w:rFonts w:ascii="Arial" w:hAnsi="Arial"/>
                <w:sz w:val="14"/>
              </w:rPr>
              <w:t>Q4 FY2017 – Q2 FY2018 (announced Aug 8, 2017; control Sep 25, 2017; build window runs to the quarter before the first paid launch)</w:t>
            </w:r>
          </w:p>
        </w:tc>
        <w:tc>
          <w:tcPr>
            <w:tcW w:type="dxa" w:w="3636"/>
            <w:vAlign w:val="top"/>
          </w:tcPr>
          <w:p>
            <w:pPr>
              <w:spacing w:after="0" w:line="240" w:lineRule="auto"/>
            </w:pPr>
            <w:r>
              <w:rPr>
                <w:rFonts w:ascii="Arial" w:hAnsi="Arial"/>
                <w:sz w:val="14"/>
              </w:rPr>
              <w:t>Owned video-delivery, subscription-billing and consumer-data stack, operated as Disney Streaming Services</w:t>
            </w:r>
          </w:p>
        </w:tc>
        <w:tc>
          <w:tcPr>
            <w:tcW w:type="dxa" w:w="3636"/>
            <w:vAlign w:val="top"/>
          </w:tcPr>
          <w:p>
            <w:pPr>
              <w:spacing w:after="0" w:line="240" w:lineRule="auto"/>
            </w:pPr>
            <w:r>
              <w:rPr>
                <w:rFonts w:ascii="Arial" w:hAnsi="Arial"/>
                <w:sz w:val="14"/>
              </w:rPr>
              <w:t>I3 ESPN+ Launch (runs on it); I5 Disney+ Initial Launch (runs on it)</w:t>
            </w:r>
          </w:p>
        </w:tc>
      </w:tr>
      <w:tr>
        <w:tc>
          <w:tcPr>
            <w:tcW w:type="dxa" w:w="3636"/>
            <w:vAlign w:val="top"/>
            <w:shd w:fill="F3F6FA"/>
          </w:tcPr>
          <w:p>
            <w:pPr>
              <w:spacing w:after="0" w:line="240" w:lineRule="auto"/>
            </w:pPr>
            <w:r>
              <w:rPr>
                <w:rFonts w:ascii="Arial" w:hAnsi="Arial"/>
                <w:sz w:val="14"/>
              </w:rPr>
              <w:t>I2 · DTCI Segment Creation</w:t>
            </w:r>
          </w:p>
        </w:tc>
        <w:tc>
          <w:tcPr>
            <w:tcW w:type="dxa" w:w="3636"/>
            <w:vAlign w:val="top"/>
            <w:shd w:fill="F3F6FA"/>
          </w:tcPr>
          <w:p>
            <w:pPr>
              <w:spacing w:after="0" w:line="240" w:lineRule="auto"/>
            </w:pPr>
            <w:r>
              <w:rPr>
                <w:rFonts w:ascii="Arial" w:hAnsi="Arial"/>
                <w:sz w:val="14"/>
              </w:rPr>
              <w:t>Q2 FY2018 (announced Mar 14, 2018)</w:t>
            </w:r>
          </w:p>
        </w:tc>
        <w:tc>
          <w:tcPr>
            <w:tcW w:type="dxa" w:w="3636"/>
            <w:vAlign w:val="top"/>
            <w:shd w:fill="F3F6FA"/>
          </w:tcPr>
          <w:p>
            <w:pPr>
              <w:spacing w:after="0" w:line="240" w:lineRule="auto"/>
            </w:pPr>
            <w:r>
              <w:rPr>
                <w:rFonts w:ascii="Arial" w:hAnsi="Arial"/>
                <w:sz w:val="14"/>
              </w:rPr>
              <w:t>One accountable owner (Chairman, DTCI) and one P&amp;L for the DTC businesses, BAMTech and the Hulu stake. Organizational, not technical.</w:t>
            </w:r>
          </w:p>
        </w:tc>
        <w:tc>
          <w:tcPr>
            <w:tcW w:type="dxa" w:w="3636"/>
            <w:vAlign w:val="top"/>
            <w:shd w:fill="F3F6FA"/>
          </w:tcPr>
          <w:p>
            <w:pPr>
              <w:spacing w:after="0" w:line="240" w:lineRule="auto"/>
            </w:pPr>
            <w:r>
              <w:rPr>
                <w:rFonts w:ascii="Arial" w:hAnsi="Arial"/>
                <w:sz w:val="14"/>
              </w:rPr>
              <w:t>I4 Hulu Operational Control (portfolio home); I5 Disney+ Initial Launch (owner whose P&amp;L carries launch losses)</w:t>
            </w:r>
          </w:p>
        </w:tc>
      </w:tr>
    </w:tbl>
    <w:p>
      <w:pPr>
        <w:spacing w:after="40"/>
      </w:pPr>
    </w:p>
    <w:p>
      <w:pPr>
        <w:spacing w:after="60"/>
      </w:pPr>
      <w:r>
        <w:rPr>
          <w:rFonts w:ascii="Arial" w:hAnsi="Arial"/>
        </w:rPr>
        <w:t>No Crawl-to-Crawl dependency: I1 is technical and I2 is organizational. I2's scope later included BAMTech, but creating the owner and P&amp;L did not require I1: DTCI also held the international channels and the Hulu stake. They ran in short sequence.</w:t>
      </w:r>
    </w:p>
    <w:p>
      <w:pPr>
        <w:pStyle w:val="Heading2"/>
        <w:spacing w:after="60"/>
      </w:pPr>
      <w:r>
        <w:rPr>
          <w:rFonts w:ascii="Arial" w:hAnsi="Arial"/>
        </w:rPr>
        <w:t>Walk: bounded deployment · Q3 FY2018 – Q1 FY2020</w:t>
      </w:r>
    </w:p>
    <w:tbl>
      <w:tblPr>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909"/>
            <w:vAlign w:val="top"/>
            <w:shd w:fill="173B6D"/>
          </w:tcPr>
          <w:p>
            <w:pPr>
              <w:spacing w:after="0" w:line="240" w:lineRule="auto"/>
            </w:pPr>
            <w:r>
              <w:rPr>
                <w:rFonts w:ascii="Arial" w:hAnsi="Arial"/>
                <w:b/>
                <w:color w:val="FFFFFF"/>
                <w:sz w:val="14"/>
              </w:rPr>
              <w:t>Initiative</w:t>
            </w:r>
          </w:p>
        </w:tc>
        <w:tc>
          <w:tcPr>
            <w:tcW w:type="dxa" w:w="2909"/>
            <w:vAlign w:val="top"/>
            <w:shd w:fill="173B6D"/>
          </w:tcPr>
          <w:p>
            <w:pPr>
              <w:spacing w:after="0" w:line="240" w:lineRule="auto"/>
            </w:pPr>
            <w:r>
              <w:rPr>
                <w:rFonts w:ascii="Arial" w:hAnsi="Arial"/>
                <w:b/>
                <w:color w:val="FFFFFF"/>
                <w:sz w:val="14"/>
              </w:rPr>
              <w:t>Quarter</w:t>
            </w:r>
          </w:p>
        </w:tc>
        <w:tc>
          <w:tcPr>
            <w:tcW w:type="dxa" w:w="2909"/>
            <w:vAlign w:val="top"/>
            <w:shd w:fill="173B6D"/>
          </w:tcPr>
          <w:p>
            <w:pPr>
              <w:spacing w:after="0" w:line="240" w:lineRule="auto"/>
            </w:pPr>
            <w:r>
              <w:rPr>
                <w:rFonts w:ascii="Arial" w:hAnsi="Arial"/>
                <w:b/>
                <w:color w:val="FFFFFF"/>
                <w:sz w:val="14"/>
              </w:rPr>
              <w:t>Crawl capability it depends on</w:t>
            </w:r>
          </w:p>
        </w:tc>
        <w:tc>
          <w:tcPr>
            <w:tcW w:type="dxa" w:w="2909"/>
            <w:vAlign w:val="top"/>
            <w:shd w:fill="173B6D"/>
          </w:tcPr>
          <w:p>
            <w:pPr>
              <w:spacing w:after="0" w:line="240" w:lineRule="auto"/>
            </w:pPr>
            <w:r>
              <w:rPr>
                <w:rFonts w:ascii="Arial" w:hAnsi="Arial"/>
                <w:b/>
                <w:color w:val="FFFFFF"/>
                <w:sz w:val="14"/>
              </w:rPr>
              <w:t>Limited deployment scope</w:t>
            </w:r>
          </w:p>
        </w:tc>
        <w:tc>
          <w:tcPr>
            <w:tcW w:type="dxa" w:w="2909"/>
            <w:vAlign w:val="top"/>
            <w:shd w:fill="173B6D"/>
          </w:tcPr>
          <w:p>
            <w:pPr>
              <w:spacing w:after="0" w:line="240" w:lineRule="auto"/>
            </w:pPr>
            <w:r>
              <w:rPr>
                <w:rFonts w:ascii="Arial" w:hAnsi="Arial"/>
                <w:b/>
                <w:color w:val="FFFFFF"/>
                <w:sz w:val="14"/>
              </w:rPr>
              <w:t>Measurable outcome signalling readiness to Run</w:t>
            </w:r>
          </w:p>
        </w:tc>
      </w:tr>
      <w:tr>
        <w:tc>
          <w:tcPr>
            <w:tcW w:type="dxa" w:w="2909"/>
            <w:vAlign w:val="top"/>
          </w:tcPr>
          <w:p>
            <w:pPr>
              <w:spacing w:after="0" w:line="240" w:lineRule="auto"/>
            </w:pPr>
            <w:r>
              <w:rPr>
                <w:rFonts w:ascii="Arial" w:hAnsi="Arial"/>
                <w:sz w:val="14"/>
              </w:rPr>
              <w:t>I3 · ESPN+ Launch</w:t>
            </w:r>
          </w:p>
        </w:tc>
        <w:tc>
          <w:tcPr>
            <w:tcW w:type="dxa" w:w="2909"/>
            <w:vAlign w:val="top"/>
          </w:tcPr>
          <w:p>
            <w:pPr>
              <w:spacing w:after="0" w:line="240" w:lineRule="auto"/>
            </w:pPr>
            <w:r>
              <w:rPr>
                <w:rFonts w:ascii="Arial" w:hAnsi="Arial"/>
                <w:sz w:val="14"/>
              </w:rPr>
              <w:t>Q3 FY2018 (Apr 12, 2018)</w:t>
            </w:r>
          </w:p>
        </w:tc>
        <w:tc>
          <w:tcPr>
            <w:tcW w:type="dxa" w:w="2909"/>
            <w:vAlign w:val="top"/>
          </w:tcPr>
          <w:p>
            <w:pPr>
              <w:spacing w:after="0" w:line="240" w:lineRule="auto"/>
            </w:pPr>
            <w:r>
              <w:rPr>
                <w:rFonts w:ascii="Arial" w:hAnsi="Arial"/>
                <w:sz w:val="14"/>
              </w:rPr>
              <w:t>I1: owned subscription-video stack</w:t>
            </w:r>
          </w:p>
        </w:tc>
        <w:tc>
          <w:tcPr>
            <w:tcW w:type="dxa" w:w="2909"/>
            <w:vAlign w:val="top"/>
          </w:tcPr>
          <w:p>
            <w:pPr>
              <w:spacing w:after="0" w:line="240" w:lineRule="auto"/>
            </w:pPr>
            <w:r>
              <w:rPr>
                <w:rFonts w:ascii="Arial" w:hAnsi="Arial"/>
                <w:sz w:val="14"/>
              </w:rPr>
              <w:t>One country (US), one product line (sports)</w:t>
            </w:r>
          </w:p>
        </w:tc>
        <w:tc>
          <w:tcPr>
            <w:tcW w:type="dxa" w:w="2909"/>
            <w:vAlign w:val="top"/>
          </w:tcPr>
          <w:p>
            <w:pPr>
              <w:spacing w:after="0" w:line="240" w:lineRule="auto"/>
            </w:pPr>
            <w:r>
              <w:rPr>
                <w:rFonts w:ascii="Arial" w:hAnsi="Arial"/>
                <w:sz w:val="14"/>
              </w:rPr>
              <w:t>1.4M paid subscribers by Dec 29, 2018, under nine months after launch</w:t>
            </w:r>
          </w:p>
        </w:tc>
      </w:tr>
      <w:tr>
        <w:tc>
          <w:tcPr>
            <w:tcW w:type="dxa" w:w="2909"/>
            <w:vAlign w:val="top"/>
            <w:shd w:fill="F3F6FA"/>
          </w:tcPr>
          <w:p>
            <w:pPr>
              <w:spacing w:after="0" w:line="240" w:lineRule="auto"/>
            </w:pPr>
            <w:r>
              <w:rPr>
                <w:rFonts w:ascii="Arial" w:hAnsi="Arial"/>
                <w:sz w:val="14"/>
              </w:rPr>
              <w:t>I4 · Hulu Operational Control</w:t>
            </w:r>
          </w:p>
        </w:tc>
        <w:tc>
          <w:tcPr>
            <w:tcW w:type="dxa" w:w="2909"/>
            <w:vAlign w:val="top"/>
            <w:shd w:fill="F3F6FA"/>
          </w:tcPr>
          <w:p>
            <w:pPr>
              <w:spacing w:after="0" w:line="240" w:lineRule="auto"/>
            </w:pPr>
            <w:r>
              <w:rPr>
                <w:rFonts w:ascii="Arial" w:hAnsi="Arial"/>
                <w:sz w:val="14"/>
              </w:rPr>
              <w:t>Q3 FY2019 (May 14, 2019)</w:t>
            </w:r>
          </w:p>
        </w:tc>
        <w:tc>
          <w:tcPr>
            <w:tcW w:type="dxa" w:w="2909"/>
            <w:vAlign w:val="top"/>
            <w:shd w:fill="F3F6FA"/>
          </w:tcPr>
          <w:p>
            <w:pPr>
              <w:spacing w:after="0" w:line="240" w:lineRule="auto"/>
            </w:pPr>
            <w:r>
              <w:rPr>
                <w:rFonts w:ascii="Arial" w:hAnsi="Arial"/>
                <w:sz w:val="14"/>
              </w:rPr>
              <w:t>I2: DTC owner and P&amp;L to run Hulu as part of a portfolio. External precondition: E1 (ownership)</w:t>
            </w:r>
          </w:p>
        </w:tc>
        <w:tc>
          <w:tcPr>
            <w:tcW w:type="dxa" w:w="2909"/>
            <w:vAlign w:val="top"/>
            <w:shd w:fill="F3F6FA"/>
          </w:tcPr>
          <w:p>
            <w:pPr>
              <w:spacing w:after="0" w:line="240" w:lineRule="auto"/>
            </w:pPr>
            <w:r>
              <w:rPr>
                <w:rFonts w:ascii="Arial" w:hAnsi="Arial"/>
                <w:sz w:val="14"/>
              </w:rPr>
              <w:t>One country (US), one general-entertainment brand</w:t>
            </w:r>
          </w:p>
        </w:tc>
        <w:tc>
          <w:tcPr>
            <w:tcW w:type="dxa" w:w="2909"/>
            <w:vAlign w:val="top"/>
            <w:shd w:fill="F3F6FA"/>
          </w:tcPr>
          <w:p>
            <w:pPr>
              <w:spacing w:after="0" w:line="240" w:lineRule="auto"/>
            </w:pPr>
            <w:r>
              <w:rPr>
                <w:rFonts w:ascii="Arial" w:hAnsi="Arial"/>
                <w:sz w:val="14"/>
              </w:rPr>
              <w:t>30.4M Hulu paid subscribers by Dec 28, 2019 (+33% year on year), the first quarter Hulu was sold inside Disney's three-service bundle ($12.99, announced Aug 6, 2019), which only one owner of all three services could create</w:t>
            </w:r>
          </w:p>
        </w:tc>
      </w:tr>
      <w:tr>
        <w:tc>
          <w:tcPr>
            <w:tcW w:type="dxa" w:w="2909"/>
            <w:vAlign w:val="top"/>
          </w:tcPr>
          <w:p>
            <w:pPr>
              <w:spacing w:after="0" w:line="240" w:lineRule="auto"/>
            </w:pPr>
            <w:r>
              <w:rPr>
                <w:rFonts w:ascii="Arial" w:hAnsi="Arial"/>
                <w:sz w:val="14"/>
              </w:rPr>
              <w:t>I5 · Disney+ Initial Launch</w:t>
            </w:r>
          </w:p>
        </w:tc>
        <w:tc>
          <w:tcPr>
            <w:tcW w:type="dxa" w:w="2909"/>
            <w:vAlign w:val="top"/>
          </w:tcPr>
          <w:p>
            <w:pPr>
              <w:spacing w:after="0" w:line="240" w:lineRule="auto"/>
            </w:pPr>
            <w:r>
              <w:rPr>
                <w:rFonts w:ascii="Arial" w:hAnsi="Arial"/>
                <w:sz w:val="14"/>
              </w:rPr>
              <w:t>Q1 FY2020 (Nov 12, 2019)</w:t>
            </w:r>
          </w:p>
        </w:tc>
        <w:tc>
          <w:tcPr>
            <w:tcW w:type="dxa" w:w="2909"/>
            <w:vAlign w:val="top"/>
          </w:tcPr>
          <w:p>
            <w:pPr>
              <w:spacing w:after="0" w:line="240" w:lineRule="auto"/>
            </w:pPr>
            <w:r>
              <w:rPr>
                <w:rFonts w:ascii="Arial" w:hAnsi="Arial"/>
                <w:sz w:val="14"/>
              </w:rPr>
              <w:t>I1: owned platform. I2: owner whose P&amp;L absorbs launch losses</w:t>
            </w:r>
          </w:p>
        </w:tc>
        <w:tc>
          <w:tcPr>
            <w:tcW w:type="dxa" w:w="2909"/>
            <w:vAlign w:val="top"/>
          </w:tcPr>
          <w:p>
            <w:pPr>
              <w:spacing w:after="0" w:line="240" w:lineRule="auto"/>
            </w:pPr>
            <w:r>
              <w:rPr>
                <w:rFonts w:ascii="Arial" w:hAnsi="Arial"/>
                <w:sz w:val="14"/>
              </w:rPr>
              <w:t>Five markets (US, Canada, Netherlands, Australia, New Zealand)</w:t>
            </w:r>
          </w:p>
        </w:tc>
        <w:tc>
          <w:tcPr>
            <w:tcW w:type="dxa" w:w="2909"/>
            <w:vAlign w:val="top"/>
          </w:tcPr>
          <w:p>
            <w:pPr>
              <w:spacing w:after="0" w:line="240" w:lineRule="auto"/>
            </w:pPr>
            <w:r>
              <w:rPr>
                <w:rFonts w:ascii="Arial" w:hAnsi="Arial"/>
                <w:sz w:val="14"/>
              </w:rPr>
              <w:t>26.5M paid subscribers by Dec 28, 2019, which is 44% of the FY2024 low-end target (60M) in seven weeks</w:t>
            </w:r>
          </w:p>
        </w:tc>
      </w:tr>
    </w:tbl>
    <w:p>
      <w:pPr>
        <w:spacing w:after="40"/>
      </w:pPr>
    </w:p>
    <w:p>
      <w:pPr>
        <w:pStyle w:val="Heading2"/>
        <w:spacing w:after="60"/>
      </w:pPr>
      <w:r>
        <w:rPr>
          <w:rFonts w:ascii="Arial" w:hAnsi="Arial"/>
        </w:rPr>
        <w:t>Run: scale · Q2 FY2020 – Q1 FY2021</w:t>
      </w:r>
    </w:p>
    <w:tbl>
      <w:tblPr>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909"/>
            <w:vAlign w:val="top"/>
            <w:shd w:fill="173B6D"/>
          </w:tcPr>
          <w:p>
            <w:pPr>
              <w:spacing w:after="0" w:line="240" w:lineRule="auto"/>
            </w:pPr>
            <w:r>
              <w:rPr>
                <w:rFonts w:ascii="Arial" w:hAnsi="Arial"/>
                <w:b/>
                <w:color w:val="FFFFFF"/>
                <w:sz w:val="14"/>
              </w:rPr>
              <w:t>Initiative</w:t>
            </w:r>
          </w:p>
        </w:tc>
        <w:tc>
          <w:tcPr>
            <w:tcW w:type="dxa" w:w="2909"/>
            <w:vAlign w:val="top"/>
            <w:shd w:fill="173B6D"/>
          </w:tcPr>
          <w:p>
            <w:pPr>
              <w:spacing w:after="0" w:line="240" w:lineRule="auto"/>
            </w:pPr>
            <w:r>
              <w:rPr>
                <w:rFonts w:ascii="Arial" w:hAnsi="Arial"/>
                <w:b/>
                <w:color w:val="FFFFFF"/>
                <w:sz w:val="14"/>
              </w:rPr>
              <w:t>Quarter range</w:t>
            </w:r>
          </w:p>
        </w:tc>
        <w:tc>
          <w:tcPr>
            <w:tcW w:type="dxa" w:w="2909"/>
            <w:vAlign w:val="top"/>
            <w:shd w:fill="173B6D"/>
          </w:tcPr>
          <w:p>
            <w:pPr>
              <w:spacing w:after="0" w:line="240" w:lineRule="auto"/>
            </w:pPr>
            <w:r>
              <w:rPr>
                <w:rFonts w:ascii="Arial" w:hAnsi="Arial"/>
                <w:b/>
                <w:color w:val="FFFFFF"/>
                <w:sz w:val="14"/>
              </w:rPr>
              <w:t>Walk initiative it scales</w:t>
            </w:r>
          </w:p>
        </w:tc>
        <w:tc>
          <w:tcPr>
            <w:tcW w:type="dxa" w:w="2909"/>
            <w:vAlign w:val="top"/>
            <w:shd w:fill="173B6D"/>
          </w:tcPr>
          <w:p>
            <w:pPr>
              <w:spacing w:after="0" w:line="240" w:lineRule="auto"/>
            </w:pPr>
            <w:r>
              <w:rPr>
                <w:rFonts w:ascii="Arial" w:hAnsi="Arial"/>
                <w:b/>
                <w:color w:val="FFFFFF"/>
                <w:sz w:val="14"/>
              </w:rPr>
              <w:t>Full-scale deployment scope</w:t>
            </w:r>
          </w:p>
        </w:tc>
        <w:tc>
          <w:tcPr>
            <w:tcW w:type="dxa" w:w="2909"/>
            <w:vAlign w:val="top"/>
            <w:shd w:fill="173B6D"/>
          </w:tcPr>
          <w:p>
            <w:pPr>
              <w:spacing w:after="0" w:line="240" w:lineRule="auto"/>
            </w:pPr>
            <w:r>
              <w:rPr>
                <w:rFonts w:ascii="Arial" w:hAnsi="Arial"/>
                <w:b/>
                <w:color w:val="FFFFFF"/>
                <w:sz w:val="14"/>
              </w:rPr>
              <w:t>Organizational change required</w:t>
            </w:r>
          </w:p>
        </w:tc>
      </w:tr>
      <w:tr>
        <w:tc>
          <w:tcPr>
            <w:tcW w:type="dxa" w:w="2909"/>
            <w:vAlign w:val="top"/>
          </w:tcPr>
          <w:p>
            <w:pPr>
              <w:spacing w:after="0" w:line="240" w:lineRule="auto"/>
            </w:pPr>
            <w:r>
              <w:rPr>
                <w:rFonts w:ascii="Arial" w:hAnsi="Arial"/>
                <w:sz w:val="14"/>
              </w:rPr>
              <w:t>I6 · Disney+ Global Expansion</w:t>
            </w:r>
          </w:p>
        </w:tc>
        <w:tc>
          <w:tcPr>
            <w:tcW w:type="dxa" w:w="2909"/>
            <w:vAlign w:val="top"/>
          </w:tcPr>
          <w:p>
            <w:pPr>
              <w:spacing w:after="0" w:line="240" w:lineRule="auto"/>
            </w:pPr>
            <w:r>
              <w:rPr>
                <w:rFonts w:ascii="Arial" w:hAnsi="Arial"/>
                <w:sz w:val="14"/>
              </w:rPr>
              <w:t>Q2 FY2020 – Q1 FY2021 (Mar 24 – Nov 17, 2020)</w:t>
            </w:r>
          </w:p>
        </w:tc>
        <w:tc>
          <w:tcPr>
            <w:tcW w:type="dxa" w:w="2909"/>
            <w:vAlign w:val="top"/>
          </w:tcPr>
          <w:p>
            <w:pPr>
              <w:spacing w:after="0" w:line="240" w:lineRule="auto"/>
            </w:pPr>
            <w:r>
              <w:rPr>
                <w:rFonts w:ascii="Arial" w:hAnsi="Arial"/>
                <w:sz w:val="14"/>
              </w:rPr>
              <w:t>I5 Disney+ Initial Launch (+ E1 for India)</w:t>
            </w:r>
          </w:p>
        </w:tc>
        <w:tc>
          <w:tcPr>
            <w:tcW w:type="dxa" w:w="2909"/>
            <w:vAlign w:val="top"/>
          </w:tcPr>
          <w:p>
            <w:pPr>
              <w:spacing w:after="0" w:line="240" w:lineRule="auto"/>
            </w:pPr>
            <w:r>
              <w:rPr>
                <w:rFonts w:ascii="Arial" w:hAnsi="Arial"/>
                <w:sz w:val="14"/>
              </w:rPr>
              <w:t>Western Europe (Mar 24; France Apr 7), India as Disney+ Hotstar (Apr 3), Japan (Jun 2020), eight more European markets (Sep 15), Latin America (Nov 17). About 74M paid by Oct 3, 2020.</w:t>
            </w:r>
          </w:p>
        </w:tc>
        <w:tc>
          <w:tcPr>
            <w:tcW w:type="dxa" w:w="2909"/>
            <w:vAlign w:val="top"/>
          </w:tcPr>
          <w:p>
            <w:pPr>
              <w:spacing w:after="0" w:line="240" w:lineRule="auto"/>
            </w:pPr>
            <w:r>
              <w:rPr>
                <w:rFonts w:ascii="Arial" w:hAnsi="Arial"/>
                <w:sz w:val="14"/>
              </w:rPr>
              <w:t>From one launch team to a local-market operating model: Hotstar's platform and organization in India, local catalogs and pricing in Europe, and regional teams reporting into a single DTC owner</w:t>
            </w:r>
          </w:p>
        </w:tc>
      </w:tr>
      <w:tr>
        <w:tc>
          <w:tcPr>
            <w:tcW w:type="dxa" w:w="2909"/>
            <w:vAlign w:val="top"/>
            <w:shd w:fill="F3F6FA"/>
          </w:tcPr>
          <w:p>
            <w:pPr>
              <w:spacing w:after="0" w:line="240" w:lineRule="auto"/>
            </w:pPr>
            <w:r>
              <w:rPr>
                <w:rFonts w:ascii="Arial" w:hAnsi="Arial"/>
                <w:sz w:val="14"/>
              </w:rPr>
              <w:t>I7 · Enterprise DTC Reorganization</w:t>
            </w:r>
          </w:p>
        </w:tc>
        <w:tc>
          <w:tcPr>
            <w:tcW w:type="dxa" w:w="2909"/>
            <w:vAlign w:val="top"/>
            <w:shd w:fill="F3F6FA"/>
          </w:tcPr>
          <w:p>
            <w:pPr>
              <w:spacing w:after="0" w:line="240" w:lineRule="auto"/>
            </w:pPr>
            <w:r>
              <w:rPr>
                <w:rFonts w:ascii="Arial" w:hAnsi="Arial"/>
                <w:sz w:val="14"/>
              </w:rPr>
              <w:t>Q1 FY2021 (Oct 12, 2020)</w:t>
            </w:r>
          </w:p>
        </w:tc>
        <w:tc>
          <w:tcPr>
            <w:tcW w:type="dxa" w:w="2909"/>
            <w:vAlign w:val="top"/>
            <w:shd w:fill="F3F6FA"/>
          </w:tcPr>
          <w:p>
            <w:pPr>
              <w:spacing w:after="0" w:line="240" w:lineRule="auto"/>
            </w:pPr>
            <w:r>
              <w:rPr>
                <w:rFonts w:ascii="Arial" w:hAnsi="Arial"/>
                <w:sz w:val="14"/>
              </w:rPr>
              <w:t>I3 + I4 + I5, the three-service portfolio</w:t>
            </w:r>
          </w:p>
        </w:tc>
        <w:tc>
          <w:tcPr>
            <w:tcW w:type="dxa" w:w="2909"/>
            <w:vAlign w:val="top"/>
            <w:shd w:fill="F3F6FA"/>
          </w:tcPr>
          <w:p>
            <w:pPr>
              <w:spacing w:after="0" w:line="240" w:lineRule="auto"/>
            </w:pPr>
            <w:r>
              <w:rPr>
                <w:rFonts w:ascii="Arial" w:hAnsi="Arial"/>
                <w:sz w:val="14"/>
              </w:rPr>
              <w:t>The portfolio's owner-decides-distribution model, extended from three streaming services to all Disney media and entertainment content, across theatrical, linear and DTC, globally</w:t>
            </w:r>
          </w:p>
        </w:tc>
        <w:tc>
          <w:tcPr>
            <w:tcW w:type="dxa" w:w="2909"/>
            <w:vAlign w:val="top"/>
            <w:shd w:fill="F3F6FA"/>
          </w:tcPr>
          <w:p>
            <w:pPr>
              <w:spacing w:after="0" w:line="240" w:lineRule="auto"/>
            </w:pPr>
            <w:r>
              <w:rPr>
                <w:rFonts w:ascii="Arial" w:hAnsi="Arial"/>
                <w:sz w:val="14"/>
              </w:rPr>
              <w:t>Content leaders give up the distribution P&amp;L: three content groups (Studios, General Entertainment, Sports) are measured on content, while one distribution group (Media and Entertainment Distribution, DMED) decides where each title goes and owns monetization and the P&amp;L</w:t>
            </w:r>
          </w:p>
        </w:tc>
      </w:tr>
    </w:tbl>
    <w:p>
      <w:pPr>
        <w:spacing w:after="40"/>
      </w:pPr>
    </w:p>
    <w:p>
      <w:pPr>
        <w:pStyle w:val="Heading1"/>
        <w:spacing w:after="60"/>
      </w:pPr>
      <w:r>
        <w:rPr>
          <w:rFonts w:ascii="Arial" w:hAnsi="Arial"/>
        </w:rPr>
        <w:t>5. Dependency annotations and sequencing test</w:t>
      </w:r>
    </w:p>
    <w:p>
      <w:pPr>
        <w:spacing w:after="60"/>
      </w:pPr>
      <w:r>
        <w:rPr>
          <w:rFonts w:ascii="Arial" w:hAnsi="Arial"/>
        </w:rPr>
        <w:t>Each annotation names both endpoints and the capability enabled, as the brief requires. Lags run from the enabling event (announcement or go-live) to the dependent go-live. E1 is an external precondition, not an initiative. Strength: H = hard (Y is impossible without X); E = economic (Y is possible but not fundable or rational); O = organizational (Y is possible but has no owner).</w:t>
      </w:r>
    </w:p>
    <w:tbl>
      <w:tblPr>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909"/>
            <w:vAlign w:val="top"/>
            <w:shd w:fill="173B6D"/>
          </w:tcPr>
          <w:p>
            <w:pPr>
              <w:spacing w:after="0" w:line="240" w:lineRule="auto"/>
            </w:pPr>
            <w:r>
              <w:rPr>
                <w:rFonts w:ascii="Arial" w:hAnsi="Arial"/>
                <w:b/>
                <w:color w:val="FFFFFF"/>
                <w:sz w:val="14"/>
              </w:rPr>
              <w:t>#</w:t>
            </w:r>
          </w:p>
        </w:tc>
        <w:tc>
          <w:tcPr>
            <w:tcW w:type="dxa" w:w="2909"/>
            <w:vAlign w:val="top"/>
            <w:shd w:fill="173B6D"/>
          </w:tcPr>
          <w:p>
            <w:pPr>
              <w:spacing w:after="0" w:line="240" w:lineRule="auto"/>
            </w:pPr>
            <w:r>
              <w:rPr>
                <w:rFonts w:ascii="Arial" w:hAnsi="Arial"/>
                <w:b/>
                <w:color w:val="FFFFFF"/>
                <w:sz w:val="14"/>
              </w:rPr>
              <w:t>Initiative X → Initiative Y: enables [capability]</w:t>
            </w:r>
          </w:p>
        </w:tc>
        <w:tc>
          <w:tcPr>
            <w:tcW w:type="dxa" w:w="2909"/>
            <w:vAlign w:val="top"/>
            <w:shd w:fill="173B6D"/>
          </w:tcPr>
          <w:p>
            <w:pPr>
              <w:spacing w:after="0" w:line="240" w:lineRule="auto"/>
            </w:pPr>
            <w:r>
              <w:rPr>
                <w:rFonts w:ascii="Arial" w:hAnsi="Arial"/>
                <w:b/>
                <w:color w:val="FFFFFF"/>
                <w:sz w:val="14"/>
              </w:rPr>
              <w:t>Strength</w:t>
            </w:r>
          </w:p>
        </w:tc>
        <w:tc>
          <w:tcPr>
            <w:tcW w:type="dxa" w:w="2909"/>
            <w:vAlign w:val="top"/>
            <w:shd w:fill="173B6D"/>
          </w:tcPr>
          <w:p>
            <w:pPr>
              <w:spacing w:after="0" w:line="240" w:lineRule="auto"/>
            </w:pPr>
            <w:r>
              <w:rPr>
                <w:rFonts w:ascii="Arial" w:hAnsi="Arial"/>
                <w:b/>
                <w:color w:val="FFFFFF"/>
                <w:sz w:val="14"/>
              </w:rPr>
              <w:t>Lag</w:t>
            </w:r>
          </w:p>
        </w:tc>
        <w:tc>
          <w:tcPr>
            <w:tcW w:type="dxa" w:w="2909"/>
            <w:vAlign w:val="top"/>
            <w:shd w:fill="173B6D"/>
          </w:tcPr>
          <w:p>
            <w:pPr>
              <w:spacing w:after="0" w:line="240" w:lineRule="auto"/>
            </w:pPr>
            <w:r>
              <w:rPr>
                <w:rFonts w:ascii="Arial" w:hAnsi="Arial"/>
                <w:b/>
                <w:color w:val="FFFFFF"/>
                <w:sz w:val="14"/>
              </w:rPr>
              <w:t>Evidence</w:t>
            </w:r>
          </w:p>
        </w:tc>
      </w:tr>
      <w:tr>
        <w:tc>
          <w:tcPr>
            <w:tcW w:type="dxa" w:w="2909"/>
            <w:vAlign w:val="top"/>
          </w:tcPr>
          <w:p>
            <w:pPr>
              <w:spacing w:after="0" w:line="240" w:lineRule="auto"/>
            </w:pPr>
            <w:r>
              <w:rPr>
                <w:rFonts w:ascii="Arial" w:hAnsi="Arial"/>
                <w:sz w:val="14"/>
              </w:rPr>
              <w:t>1</w:t>
            </w:r>
          </w:p>
        </w:tc>
        <w:tc>
          <w:tcPr>
            <w:tcW w:type="dxa" w:w="2909"/>
            <w:vAlign w:val="top"/>
          </w:tcPr>
          <w:p>
            <w:pPr>
              <w:spacing w:after="0" w:line="240" w:lineRule="auto"/>
            </w:pPr>
            <w:r>
              <w:rPr>
                <w:rFonts w:ascii="Arial" w:hAnsi="Arial"/>
                <w:sz w:val="14"/>
              </w:rPr>
              <w:t>I1 → I3: enables a paid subscription-video service on an owned stack</w:t>
            </w:r>
          </w:p>
        </w:tc>
        <w:tc>
          <w:tcPr>
            <w:tcW w:type="dxa" w:w="2909"/>
            <w:vAlign w:val="top"/>
          </w:tcPr>
          <w:p>
            <w:pPr>
              <w:spacing w:after="0" w:line="240" w:lineRule="auto"/>
            </w:pPr>
            <w:r>
              <w:rPr>
                <w:rFonts w:ascii="Arial" w:hAnsi="Arial"/>
                <w:sz w:val="14"/>
              </w:rPr>
              <w:t>H</w:t>
            </w:r>
          </w:p>
        </w:tc>
        <w:tc>
          <w:tcPr>
            <w:tcW w:type="dxa" w:w="2909"/>
            <w:vAlign w:val="top"/>
          </w:tcPr>
          <w:p>
            <w:pPr>
              <w:spacing w:after="0" w:line="240" w:lineRule="auto"/>
            </w:pPr>
            <w:r>
              <w:rPr>
                <w:rFonts w:ascii="Arial" w:hAnsi="Arial"/>
                <w:sz w:val="14"/>
              </w:rPr>
              <w:t>8 mo</w:t>
            </w:r>
          </w:p>
        </w:tc>
        <w:tc>
          <w:tcPr>
            <w:tcW w:type="dxa" w:w="2909"/>
            <w:vAlign w:val="top"/>
          </w:tcPr>
          <w:p>
            <w:pPr>
              <w:spacing w:after="0" w:line="240" w:lineRule="auto"/>
            </w:pPr>
            <w:r>
              <w:rPr>
                <w:rFonts w:ascii="Arial" w:hAnsi="Arial"/>
                <w:sz w:val="14"/>
              </w:rPr>
              <w:t>10-K FY2018: ESPN+ "launched in April 2018", operated by BAMTech</w:t>
            </w:r>
          </w:p>
        </w:tc>
      </w:tr>
      <w:tr>
        <w:tc>
          <w:tcPr>
            <w:tcW w:type="dxa" w:w="2909"/>
            <w:vAlign w:val="top"/>
            <w:shd w:fill="F3F6FA"/>
          </w:tcPr>
          <w:p>
            <w:pPr>
              <w:spacing w:after="0" w:line="240" w:lineRule="auto"/>
            </w:pPr>
            <w:r>
              <w:rPr>
                <w:rFonts w:ascii="Arial" w:hAnsi="Arial"/>
                <w:sz w:val="14"/>
              </w:rPr>
              <w:t>2</w:t>
            </w:r>
          </w:p>
        </w:tc>
        <w:tc>
          <w:tcPr>
            <w:tcW w:type="dxa" w:w="2909"/>
            <w:vAlign w:val="top"/>
            <w:shd w:fill="F3F6FA"/>
          </w:tcPr>
          <w:p>
            <w:pPr>
              <w:spacing w:after="0" w:line="240" w:lineRule="auto"/>
            </w:pPr>
            <w:r>
              <w:rPr>
                <w:rFonts w:ascii="Arial" w:hAnsi="Arial"/>
                <w:sz w:val="14"/>
              </w:rPr>
              <w:t>I1 → I5: enables flagship distribution Disney owns instead of rents</w:t>
            </w:r>
          </w:p>
        </w:tc>
        <w:tc>
          <w:tcPr>
            <w:tcW w:type="dxa" w:w="2909"/>
            <w:vAlign w:val="top"/>
            <w:shd w:fill="F3F6FA"/>
          </w:tcPr>
          <w:p>
            <w:pPr>
              <w:spacing w:after="0" w:line="240" w:lineRule="auto"/>
            </w:pPr>
            <w:r>
              <w:rPr>
                <w:rFonts w:ascii="Arial" w:hAnsi="Arial"/>
                <w:sz w:val="14"/>
              </w:rPr>
              <w:t>H</w:t>
            </w:r>
          </w:p>
        </w:tc>
        <w:tc>
          <w:tcPr>
            <w:tcW w:type="dxa" w:w="2909"/>
            <w:vAlign w:val="top"/>
            <w:shd w:fill="F3F6FA"/>
          </w:tcPr>
          <w:p>
            <w:pPr>
              <w:spacing w:after="0" w:line="240" w:lineRule="auto"/>
            </w:pPr>
            <w:r>
              <w:rPr>
                <w:rFonts w:ascii="Arial" w:hAnsi="Arial"/>
                <w:sz w:val="14"/>
              </w:rPr>
              <w:t>27 mo</w:t>
            </w:r>
          </w:p>
        </w:tc>
        <w:tc>
          <w:tcPr>
            <w:tcW w:type="dxa" w:w="2909"/>
            <w:vAlign w:val="top"/>
            <w:shd w:fill="F3F6FA"/>
          </w:tcPr>
          <w:p>
            <w:pPr>
              <w:spacing w:after="0" w:line="240" w:lineRule="auto"/>
            </w:pPr>
            <w:r>
              <w:rPr>
                <w:rFonts w:ascii="Arial" w:hAnsi="Arial"/>
                <w:sz w:val="14"/>
              </w:rPr>
              <w:t>BAMTech announcement (Aug 8, 2017) tied the Disney-branded service to the platform and ended Netflix distribution of new releases from the 2019 slate</w:t>
            </w:r>
          </w:p>
        </w:tc>
      </w:tr>
      <w:tr>
        <w:tc>
          <w:tcPr>
            <w:tcW w:type="dxa" w:w="2909"/>
            <w:vAlign w:val="top"/>
          </w:tcPr>
          <w:p>
            <w:pPr>
              <w:spacing w:after="0" w:line="240" w:lineRule="auto"/>
            </w:pPr>
            <w:r>
              <w:rPr>
                <w:rFonts w:ascii="Arial" w:hAnsi="Arial"/>
                <w:sz w:val="14"/>
              </w:rPr>
              <w:t>3</w:t>
            </w:r>
          </w:p>
        </w:tc>
        <w:tc>
          <w:tcPr>
            <w:tcW w:type="dxa" w:w="2909"/>
            <w:vAlign w:val="top"/>
          </w:tcPr>
          <w:p>
            <w:pPr>
              <w:spacing w:after="0" w:line="240" w:lineRule="auto"/>
            </w:pPr>
            <w:r>
              <w:rPr>
                <w:rFonts w:ascii="Arial" w:hAnsi="Arial"/>
                <w:sz w:val="14"/>
              </w:rPr>
              <w:t>I2 → I4: enables Hulu to be run as one P&amp;L inside a DTC portfolio</w:t>
            </w:r>
          </w:p>
        </w:tc>
        <w:tc>
          <w:tcPr>
            <w:tcW w:type="dxa" w:w="2909"/>
            <w:vAlign w:val="top"/>
          </w:tcPr>
          <w:p>
            <w:pPr>
              <w:spacing w:after="0" w:line="240" w:lineRule="auto"/>
            </w:pPr>
            <w:r>
              <w:rPr>
                <w:rFonts w:ascii="Arial" w:hAnsi="Arial"/>
                <w:sz w:val="14"/>
              </w:rPr>
              <w:t>O</w:t>
            </w:r>
          </w:p>
        </w:tc>
        <w:tc>
          <w:tcPr>
            <w:tcW w:type="dxa" w:w="2909"/>
            <w:vAlign w:val="top"/>
          </w:tcPr>
          <w:p>
            <w:pPr>
              <w:spacing w:after="0" w:line="240" w:lineRule="auto"/>
            </w:pPr>
            <w:r>
              <w:rPr>
                <w:rFonts w:ascii="Arial" w:hAnsi="Arial"/>
                <w:sz w:val="14"/>
              </w:rPr>
              <w:t>14 mo</w:t>
            </w:r>
          </w:p>
        </w:tc>
        <w:tc>
          <w:tcPr>
            <w:tcW w:type="dxa" w:w="2909"/>
            <w:vAlign w:val="top"/>
          </w:tcPr>
          <w:p>
            <w:pPr>
              <w:spacing w:after="0" w:line="240" w:lineRule="auto"/>
            </w:pPr>
            <w:r>
              <w:rPr>
                <w:rFonts w:ascii="Arial" w:hAnsi="Arial"/>
                <w:sz w:val="14"/>
              </w:rPr>
              <w:t>Recast 10-K FY2018 (8-K, Feb 2019): DTCI segment holds the Hulu stake alongside ESPN+, BAMTech and the planned Disney+</w:t>
            </w:r>
          </w:p>
        </w:tc>
      </w:tr>
      <w:tr>
        <w:tc>
          <w:tcPr>
            <w:tcW w:type="dxa" w:w="2909"/>
            <w:vAlign w:val="top"/>
            <w:shd w:fill="F3F6FA"/>
          </w:tcPr>
          <w:p>
            <w:pPr>
              <w:spacing w:after="0" w:line="240" w:lineRule="auto"/>
            </w:pPr>
            <w:r>
              <w:rPr>
                <w:rFonts w:ascii="Arial" w:hAnsi="Arial"/>
                <w:sz w:val="14"/>
              </w:rPr>
              <w:t>4</w:t>
            </w:r>
          </w:p>
        </w:tc>
        <w:tc>
          <w:tcPr>
            <w:tcW w:type="dxa" w:w="2909"/>
            <w:vAlign w:val="top"/>
            <w:shd w:fill="F3F6FA"/>
          </w:tcPr>
          <w:p>
            <w:pPr>
              <w:spacing w:after="0" w:line="240" w:lineRule="auto"/>
            </w:pPr>
            <w:r>
              <w:rPr>
                <w:rFonts w:ascii="Arial" w:hAnsi="Arial"/>
                <w:sz w:val="14"/>
              </w:rPr>
              <w:t>I2 → I5: enables a P&amp;L that can absorb planned launch losses</w:t>
            </w:r>
          </w:p>
        </w:tc>
        <w:tc>
          <w:tcPr>
            <w:tcW w:type="dxa" w:w="2909"/>
            <w:vAlign w:val="top"/>
            <w:shd w:fill="F3F6FA"/>
          </w:tcPr>
          <w:p>
            <w:pPr>
              <w:spacing w:after="0" w:line="240" w:lineRule="auto"/>
            </w:pPr>
            <w:r>
              <w:rPr>
                <w:rFonts w:ascii="Arial" w:hAnsi="Arial"/>
                <w:sz w:val="14"/>
              </w:rPr>
              <w:t>E</w:t>
            </w:r>
          </w:p>
        </w:tc>
        <w:tc>
          <w:tcPr>
            <w:tcW w:type="dxa" w:w="2909"/>
            <w:vAlign w:val="top"/>
            <w:shd w:fill="F3F6FA"/>
          </w:tcPr>
          <w:p>
            <w:pPr>
              <w:spacing w:after="0" w:line="240" w:lineRule="auto"/>
            </w:pPr>
            <w:r>
              <w:rPr>
                <w:rFonts w:ascii="Arial" w:hAnsi="Arial"/>
                <w:sz w:val="14"/>
              </w:rPr>
              <w:t>20 mo</w:t>
            </w:r>
          </w:p>
        </w:tc>
        <w:tc>
          <w:tcPr>
            <w:tcW w:type="dxa" w:w="2909"/>
            <w:vAlign w:val="top"/>
            <w:shd w:fill="F3F6FA"/>
          </w:tcPr>
          <w:p>
            <w:pPr>
              <w:spacing w:after="0" w:line="240" w:lineRule="auto"/>
            </w:pPr>
            <w:r>
              <w:rPr>
                <w:rFonts w:ascii="Arial" w:hAnsi="Arial"/>
                <w:sz w:val="14"/>
              </w:rPr>
              <w:t>DTCI operating loss widened from $(136)M to $(693)M year on year in the launch quarter (Q1 FY2020) and stayed inside the segment; Investor Day guided Disney+ to profitability in FY2024</w:t>
            </w:r>
          </w:p>
        </w:tc>
      </w:tr>
      <w:tr>
        <w:tc>
          <w:tcPr>
            <w:tcW w:type="dxa" w:w="2909"/>
            <w:vAlign w:val="top"/>
          </w:tcPr>
          <w:p>
            <w:pPr>
              <w:spacing w:after="0" w:line="240" w:lineRule="auto"/>
            </w:pPr>
            <w:r>
              <w:rPr>
                <w:rFonts w:ascii="Arial" w:hAnsi="Arial"/>
                <w:sz w:val="14"/>
              </w:rPr>
              <w:t>5</w:t>
            </w:r>
          </w:p>
        </w:tc>
        <w:tc>
          <w:tcPr>
            <w:tcW w:type="dxa" w:w="2909"/>
            <w:vAlign w:val="top"/>
          </w:tcPr>
          <w:p>
            <w:pPr>
              <w:spacing w:after="0" w:line="240" w:lineRule="auto"/>
            </w:pPr>
            <w:r>
              <w:rPr>
                <w:rFonts w:ascii="Arial" w:hAnsi="Arial"/>
                <w:sz w:val="14"/>
              </w:rPr>
              <w:t>E1 (external) → I4: enables the majority Hulu stake that operational control requires</w:t>
            </w:r>
          </w:p>
        </w:tc>
        <w:tc>
          <w:tcPr>
            <w:tcW w:type="dxa" w:w="2909"/>
            <w:vAlign w:val="top"/>
          </w:tcPr>
          <w:p>
            <w:pPr>
              <w:spacing w:after="0" w:line="240" w:lineRule="auto"/>
            </w:pPr>
            <w:r>
              <w:rPr>
                <w:rFonts w:ascii="Arial" w:hAnsi="Arial"/>
                <w:sz w:val="14"/>
              </w:rPr>
              <w:t>H</w:t>
            </w:r>
          </w:p>
        </w:tc>
        <w:tc>
          <w:tcPr>
            <w:tcW w:type="dxa" w:w="2909"/>
            <w:vAlign w:val="top"/>
          </w:tcPr>
          <w:p>
            <w:pPr>
              <w:spacing w:after="0" w:line="240" w:lineRule="auto"/>
            </w:pPr>
            <w:r>
              <w:rPr>
                <w:rFonts w:ascii="Arial" w:hAnsi="Arial"/>
                <w:sz w:val="14"/>
              </w:rPr>
              <w:t>2 mo</w:t>
            </w:r>
          </w:p>
        </w:tc>
        <w:tc>
          <w:tcPr>
            <w:tcW w:type="dxa" w:w="2909"/>
            <w:vAlign w:val="top"/>
          </w:tcPr>
          <w:p>
            <w:pPr>
              <w:spacing w:after="0" w:line="240" w:lineRule="auto"/>
            </w:pPr>
            <w:r>
              <w:rPr>
                <w:rFonts w:ascii="Arial" w:hAnsi="Arial"/>
                <w:sz w:val="14"/>
              </w:rPr>
              <w:t>10-K FY2019: 21CF acquired Mar 20, 2019; Hulu stake 60%, then 67% plus full operational control in May 2019</w:t>
            </w:r>
          </w:p>
        </w:tc>
      </w:tr>
      <w:tr>
        <w:tc>
          <w:tcPr>
            <w:tcW w:type="dxa" w:w="2909"/>
            <w:vAlign w:val="top"/>
            <w:shd w:fill="F3F6FA"/>
          </w:tcPr>
          <w:p>
            <w:pPr>
              <w:spacing w:after="0" w:line="240" w:lineRule="auto"/>
            </w:pPr>
            <w:r>
              <w:rPr>
                <w:rFonts w:ascii="Arial" w:hAnsi="Arial"/>
                <w:sz w:val="14"/>
              </w:rPr>
              <w:t>6</w:t>
            </w:r>
          </w:p>
        </w:tc>
        <w:tc>
          <w:tcPr>
            <w:tcW w:type="dxa" w:w="2909"/>
            <w:vAlign w:val="top"/>
            <w:shd w:fill="F3F6FA"/>
          </w:tcPr>
          <w:p>
            <w:pPr>
              <w:spacing w:after="0" w:line="240" w:lineRule="auto"/>
            </w:pPr>
            <w:r>
              <w:rPr>
                <w:rFonts w:ascii="Arial" w:hAnsi="Arial"/>
                <w:sz w:val="14"/>
              </w:rPr>
              <w:t>E1 (external) → I6: enables the India launch on Hotstar's platform and audience</w:t>
            </w:r>
          </w:p>
        </w:tc>
        <w:tc>
          <w:tcPr>
            <w:tcW w:type="dxa" w:w="2909"/>
            <w:vAlign w:val="top"/>
            <w:shd w:fill="F3F6FA"/>
          </w:tcPr>
          <w:p>
            <w:pPr>
              <w:spacing w:after="0" w:line="240" w:lineRule="auto"/>
            </w:pPr>
            <w:r>
              <w:rPr>
                <w:rFonts w:ascii="Arial" w:hAnsi="Arial"/>
                <w:sz w:val="14"/>
              </w:rPr>
              <w:t>H</w:t>
            </w:r>
          </w:p>
        </w:tc>
        <w:tc>
          <w:tcPr>
            <w:tcW w:type="dxa" w:w="2909"/>
            <w:vAlign w:val="top"/>
            <w:shd w:fill="F3F6FA"/>
          </w:tcPr>
          <w:p>
            <w:pPr>
              <w:spacing w:after="0" w:line="240" w:lineRule="auto"/>
            </w:pPr>
            <w:r>
              <w:rPr>
                <w:rFonts w:ascii="Arial" w:hAnsi="Arial"/>
                <w:sz w:val="14"/>
              </w:rPr>
              <w:t>12 mo</w:t>
            </w:r>
          </w:p>
        </w:tc>
        <w:tc>
          <w:tcPr>
            <w:tcW w:type="dxa" w:w="2909"/>
            <w:vAlign w:val="top"/>
            <w:shd w:fill="F3F6FA"/>
          </w:tcPr>
          <w:p>
            <w:pPr>
              <w:spacing w:after="0" w:line="240" w:lineRule="auto"/>
            </w:pPr>
            <w:r>
              <w:rPr>
                <w:rFonts w:ascii="Arial" w:hAnsi="Arial"/>
                <w:sz w:val="14"/>
              </w:rPr>
              <w:t>10-K FY2020: "our Hotstar service in India was converted to Disney+Hotstar" (April 2020)</w:t>
            </w:r>
          </w:p>
        </w:tc>
      </w:tr>
      <w:tr>
        <w:tc>
          <w:tcPr>
            <w:tcW w:type="dxa" w:w="2909"/>
            <w:vAlign w:val="top"/>
          </w:tcPr>
          <w:p>
            <w:pPr>
              <w:spacing w:after="0" w:line="240" w:lineRule="auto"/>
            </w:pPr>
            <w:r>
              <w:rPr>
                <w:rFonts w:ascii="Arial" w:hAnsi="Arial"/>
                <w:sz w:val="14"/>
              </w:rPr>
              <w:t>7</w:t>
            </w:r>
          </w:p>
        </w:tc>
        <w:tc>
          <w:tcPr>
            <w:tcW w:type="dxa" w:w="2909"/>
            <w:vAlign w:val="top"/>
          </w:tcPr>
          <w:p>
            <w:pPr>
              <w:spacing w:after="0" w:line="240" w:lineRule="auto"/>
            </w:pPr>
            <w:r>
              <w:rPr>
                <w:rFonts w:ascii="Arial" w:hAnsi="Arial"/>
                <w:sz w:val="14"/>
              </w:rPr>
              <w:t>I5 → I6: enables international commitments justified by proven demand</w:t>
            </w:r>
          </w:p>
        </w:tc>
        <w:tc>
          <w:tcPr>
            <w:tcW w:type="dxa" w:w="2909"/>
            <w:vAlign w:val="top"/>
          </w:tcPr>
          <w:p>
            <w:pPr>
              <w:spacing w:after="0" w:line="240" w:lineRule="auto"/>
            </w:pPr>
            <w:r>
              <w:rPr>
                <w:rFonts w:ascii="Arial" w:hAnsi="Arial"/>
                <w:sz w:val="14"/>
              </w:rPr>
              <w:t>E</w:t>
            </w:r>
          </w:p>
        </w:tc>
        <w:tc>
          <w:tcPr>
            <w:tcW w:type="dxa" w:w="2909"/>
            <w:vAlign w:val="top"/>
          </w:tcPr>
          <w:p>
            <w:pPr>
              <w:spacing w:after="0" w:line="240" w:lineRule="auto"/>
            </w:pPr>
            <w:r>
              <w:rPr>
                <w:rFonts w:ascii="Arial" w:hAnsi="Arial"/>
                <w:sz w:val="14"/>
              </w:rPr>
              <w:t>133 days</w:t>
            </w:r>
          </w:p>
        </w:tc>
        <w:tc>
          <w:tcPr>
            <w:tcW w:type="dxa" w:w="2909"/>
            <w:vAlign w:val="top"/>
          </w:tcPr>
          <w:p>
            <w:pPr>
              <w:spacing w:after="0" w:line="240" w:lineRule="auto"/>
            </w:pPr>
            <w:r>
              <w:rPr>
                <w:rFonts w:ascii="Arial" w:hAnsi="Arial"/>
                <w:sz w:val="14"/>
              </w:rPr>
              <w:t>26.5M paid at Dec 28, 2019; on Jan 21, 2020 the Western Europe launch was moved forward from Mar 31 to Mar 24</w:t>
            </w:r>
          </w:p>
        </w:tc>
      </w:tr>
      <w:tr>
        <w:tc>
          <w:tcPr>
            <w:tcW w:type="dxa" w:w="2909"/>
            <w:vAlign w:val="top"/>
            <w:shd w:fill="F3F6FA"/>
          </w:tcPr>
          <w:p>
            <w:pPr>
              <w:spacing w:after="0" w:line="240" w:lineRule="auto"/>
            </w:pPr>
            <w:r>
              <w:rPr>
                <w:rFonts w:ascii="Arial" w:hAnsi="Arial"/>
                <w:sz w:val="14"/>
              </w:rPr>
              <w:t>8</w:t>
            </w:r>
          </w:p>
        </w:tc>
        <w:tc>
          <w:tcPr>
            <w:tcW w:type="dxa" w:w="2909"/>
            <w:vAlign w:val="top"/>
            <w:shd w:fill="F3F6FA"/>
          </w:tcPr>
          <w:p>
            <w:pPr>
              <w:spacing w:after="0" w:line="240" w:lineRule="auto"/>
            </w:pPr>
            <w:r>
              <w:rPr>
                <w:rFonts w:ascii="Arial" w:hAnsi="Arial"/>
                <w:sz w:val="14"/>
              </w:rPr>
              <w:t>I3 + I4 + I5 → I7: enables one distribution-and-monetization owner across three services</w:t>
            </w:r>
          </w:p>
        </w:tc>
        <w:tc>
          <w:tcPr>
            <w:tcW w:type="dxa" w:w="2909"/>
            <w:vAlign w:val="top"/>
            <w:shd w:fill="F3F6FA"/>
          </w:tcPr>
          <w:p>
            <w:pPr>
              <w:spacing w:after="0" w:line="240" w:lineRule="auto"/>
            </w:pPr>
            <w:r>
              <w:rPr>
                <w:rFonts w:ascii="Arial" w:hAnsi="Arial"/>
                <w:sz w:val="14"/>
              </w:rPr>
              <w:t>E + O</w:t>
            </w:r>
          </w:p>
        </w:tc>
        <w:tc>
          <w:tcPr>
            <w:tcW w:type="dxa" w:w="2909"/>
            <w:vAlign w:val="top"/>
            <w:shd w:fill="F3F6FA"/>
          </w:tcPr>
          <w:p>
            <w:pPr>
              <w:spacing w:after="0" w:line="240" w:lineRule="auto"/>
            </w:pPr>
            <w:r>
              <w:rPr>
                <w:rFonts w:ascii="Arial" w:hAnsi="Arial"/>
                <w:sz w:val="14"/>
              </w:rPr>
              <w:t>11 mo after I5</w:t>
            </w:r>
          </w:p>
        </w:tc>
        <w:tc>
          <w:tcPr>
            <w:tcW w:type="dxa" w:w="2909"/>
            <w:vAlign w:val="top"/>
            <w:shd w:fill="F3F6FA"/>
          </w:tcPr>
          <w:p>
            <w:pPr>
              <w:spacing w:after="0" w:line="240" w:lineRule="auto"/>
            </w:pPr>
            <w:r>
              <w:rPr>
                <w:rFonts w:ascii="Arial" w:hAnsi="Arial"/>
                <w:sz w:val="14"/>
              </w:rPr>
              <w:t>Three-service bundle on sale from Nov 2019, combining I3, I4 and I5; the portfolio passed 100 million paid subscriptions (Aug 4, 2020) before the Oct 2020 reorganization</w:t>
            </w:r>
          </w:p>
        </w:tc>
      </w:tr>
    </w:tbl>
    <w:p>
      <w:pPr>
        <w:spacing w:after="40"/>
      </w:pPr>
    </w:p>
    <w:p>
      <w:pPr>
        <w:pStyle w:val="Heading2"/>
        <w:spacing w:after="60"/>
      </w:pPr>
      <w:r>
        <w:rPr>
          <w:rFonts w:ascii="Arial" w:hAnsi="Arial"/>
        </w:rPr>
        <w:t>Sequencing test: remove an initiative, and what becomes impossible?</w:t>
      </w:r>
    </w:p>
    <w:tbl>
      <w:tblPr>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vAlign w:val="top"/>
            <w:shd w:fill="173B6D"/>
          </w:tcPr>
          <w:p>
            <w:pPr>
              <w:spacing w:after="0" w:line="240" w:lineRule="auto"/>
            </w:pPr>
            <w:r>
              <w:rPr>
                <w:rFonts w:ascii="Arial" w:hAnsi="Arial"/>
                <w:b/>
                <w:color w:val="FFFFFF"/>
                <w:sz w:val="14"/>
              </w:rPr>
              <w:t>If removed</w:t>
            </w:r>
          </w:p>
        </w:tc>
        <w:tc>
          <w:tcPr>
            <w:tcW w:type="dxa" w:w="3636"/>
            <w:vAlign w:val="top"/>
            <w:shd w:fill="173B6D"/>
          </w:tcPr>
          <w:p>
            <w:pPr>
              <w:spacing w:after="0" w:line="240" w:lineRule="auto"/>
            </w:pPr>
            <w:r>
              <w:rPr>
                <w:rFonts w:ascii="Arial" w:hAnsi="Arial"/>
                <w:b/>
                <w:color w:val="FFFFFF"/>
                <w:sz w:val="14"/>
              </w:rPr>
              <w:t>Becomes impossible or irrational</w:t>
            </w:r>
          </w:p>
        </w:tc>
        <w:tc>
          <w:tcPr>
            <w:tcW w:type="dxa" w:w="3636"/>
            <w:vAlign w:val="top"/>
            <w:shd w:fill="173B6D"/>
          </w:tcPr>
          <w:p>
            <w:pPr>
              <w:spacing w:after="0" w:line="240" w:lineRule="auto"/>
            </w:pPr>
            <w:r>
              <w:rPr>
                <w:rFonts w:ascii="Arial" w:hAnsi="Arial"/>
                <w:b/>
                <w:color w:val="FFFFFF"/>
                <w:sz w:val="14"/>
              </w:rPr>
              <w:t>Class</w:t>
            </w:r>
          </w:p>
        </w:tc>
        <w:tc>
          <w:tcPr>
            <w:tcW w:type="dxa" w:w="3636"/>
            <w:vAlign w:val="top"/>
            <w:shd w:fill="173B6D"/>
          </w:tcPr>
          <w:p>
            <w:pPr>
              <w:spacing w:after="0" w:line="240" w:lineRule="auto"/>
            </w:pPr>
            <w:r>
              <w:rPr>
                <w:rFonts w:ascii="Arial" w:hAnsi="Arial"/>
                <w:b/>
                <w:color w:val="FFFFFF"/>
                <w:sz w:val="14"/>
              </w:rPr>
              <w:t>Why</w:t>
            </w:r>
          </w:p>
        </w:tc>
      </w:tr>
      <w:tr>
        <w:tc>
          <w:tcPr>
            <w:tcW w:type="dxa" w:w="3636"/>
            <w:vAlign w:val="top"/>
          </w:tcPr>
          <w:p>
            <w:pPr>
              <w:spacing w:after="0" w:line="240" w:lineRule="auto"/>
            </w:pPr>
            <w:r>
              <w:rPr>
                <w:rFonts w:ascii="Arial" w:hAnsi="Arial"/>
                <w:sz w:val="14"/>
              </w:rPr>
              <w:t>I1 BAMTech Majority Control</w:t>
            </w:r>
          </w:p>
        </w:tc>
        <w:tc>
          <w:tcPr>
            <w:tcW w:type="dxa" w:w="3636"/>
            <w:vAlign w:val="top"/>
          </w:tcPr>
          <w:p>
            <w:pPr>
              <w:spacing w:after="0" w:line="240" w:lineRule="auto"/>
            </w:pPr>
            <w:r>
              <w:rPr>
                <w:rFonts w:ascii="Arial" w:hAnsi="Arial"/>
                <w:sz w:val="14"/>
              </w:rPr>
              <w:t>I3 ESPN+ Launch; I5 Disney+ Initial Launch</w:t>
            </w:r>
          </w:p>
        </w:tc>
        <w:tc>
          <w:tcPr>
            <w:tcW w:type="dxa" w:w="3636"/>
            <w:vAlign w:val="top"/>
          </w:tcPr>
          <w:p>
            <w:pPr>
              <w:spacing w:after="0" w:line="240" w:lineRule="auto"/>
            </w:pPr>
            <w:r>
              <w:rPr>
                <w:rFonts w:ascii="Arial" w:hAnsi="Arial"/>
                <w:sz w:val="14"/>
              </w:rPr>
              <w:t>H</w:t>
            </w:r>
          </w:p>
        </w:tc>
        <w:tc>
          <w:tcPr>
            <w:tcW w:type="dxa" w:w="3636"/>
            <w:vAlign w:val="top"/>
          </w:tcPr>
          <w:p>
            <w:pPr>
              <w:spacing w:after="0" w:line="240" w:lineRule="auto"/>
            </w:pPr>
            <w:r>
              <w:rPr>
                <w:rFonts w:ascii="Arial" w:hAnsi="Arial"/>
                <w:sz w:val="14"/>
              </w:rPr>
              <w:t>Neither service could launch on its actual timeline: the only alternatives were building a stack from scratch (years) or licensing one, which would mean still renting distribution, the opposite of I5's purpose.</w:t>
            </w:r>
          </w:p>
        </w:tc>
      </w:tr>
      <w:tr>
        <w:tc>
          <w:tcPr>
            <w:tcW w:type="dxa" w:w="3636"/>
            <w:vAlign w:val="top"/>
            <w:shd w:fill="F3F6FA"/>
          </w:tcPr>
          <w:p>
            <w:pPr>
              <w:spacing w:after="0" w:line="240" w:lineRule="auto"/>
            </w:pPr>
            <w:r>
              <w:rPr>
                <w:rFonts w:ascii="Arial" w:hAnsi="Arial"/>
                <w:sz w:val="14"/>
              </w:rPr>
              <w:t>I2 DTCI Segment Creation</w:t>
            </w:r>
          </w:p>
        </w:tc>
        <w:tc>
          <w:tcPr>
            <w:tcW w:type="dxa" w:w="3636"/>
            <w:vAlign w:val="top"/>
            <w:shd w:fill="F3F6FA"/>
          </w:tcPr>
          <w:p>
            <w:pPr>
              <w:spacing w:after="0" w:line="240" w:lineRule="auto"/>
            </w:pPr>
            <w:r>
              <w:rPr>
                <w:rFonts w:ascii="Arial" w:hAnsi="Arial"/>
                <w:sz w:val="14"/>
              </w:rPr>
              <w:t>I5 as launched; I4 as a portfolio</w:t>
            </w:r>
          </w:p>
        </w:tc>
        <w:tc>
          <w:tcPr>
            <w:tcW w:type="dxa" w:w="3636"/>
            <w:vAlign w:val="top"/>
            <w:shd w:fill="F3F6FA"/>
          </w:tcPr>
          <w:p>
            <w:pPr>
              <w:spacing w:after="0" w:line="240" w:lineRule="auto"/>
            </w:pPr>
            <w:r>
              <w:rPr>
                <w:rFonts w:ascii="Arial" w:hAnsi="Arial"/>
                <w:sz w:val="14"/>
              </w:rPr>
              <w:t>E · O</w:t>
            </w:r>
          </w:p>
        </w:tc>
        <w:tc>
          <w:tcPr>
            <w:tcW w:type="dxa" w:w="3636"/>
            <w:vAlign w:val="top"/>
            <w:shd w:fill="F3F6FA"/>
          </w:tcPr>
          <w:p>
            <w:pPr>
              <w:spacing w:after="0" w:line="240" w:lineRule="auto"/>
            </w:pPr>
            <w:r>
              <w:rPr>
                <w:rFonts w:ascii="Arial" w:hAnsi="Arial"/>
                <w:sz w:val="14"/>
              </w:rPr>
              <w:t>I5 as launched becomes economically impossible: a $(693)M launch-quarter loss would land in studio and network P&amp;Ls that are paid to protect licensing income. Hulu control would have no portfolio owner.</w:t>
            </w:r>
          </w:p>
        </w:tc>
      </w:tr>
      <w:tr>
        <w:tc>
          <w:tcPr>
            <w:tcW w:type="dxa" w:w="3636"/>
            <w:vAlign w:val="top"/>
          </w:tcPr>
          <w:p>
            <w:pPr>
              <w:spacing w:after="0" w:line="240" w:lineRule="auto"/>
            </w:pPr>
            <w:r>
              <w:rPr>
                <w:rFonts w:ascii="Arial" w:hAnsi="Arial"/>
                <w:sz w:val="14"/>
              </w:rPr>
              <w:t>I5 Disney+ Initial Launch</w:t>
            </w:r>
          </w:p>
        </w:tc>
        <w:tc>
          <w:tcPr>
            <w:tcW w:type="dxa" w:w="3636"/>
            <w:vAlign w:val="top"/>
          </w:tcPr>
          <w:p>
            <w:pPr>
              <w:spacing w:after="0" w:line="240" w:lineRule="auto"/>
            </w:pPr>
            <w:r>
              <w:rPr>
                <w:rFonts w:ascii="Arial" w:hAnsi="Arial"/>
                <w:sz w:val="14"/>
              </w:rPr>
              <w:t>I6 Global Expansion</w:t>
            </w:r>
          </w:p>
        </w:tc>
        <w:tc>
          <w:tcPr>
            <w:tcW w:type="dxa" w:w="3636"/>
            <w:vAlign w:val="top"/>
          </w:tcPr>
          <w:p>
            <w:pPr>
              <w:spacing w:after="0" w:line="240" w:lineRule="auto"/>
            </w:pPr>
            <w:r>
              <w:rPr>
                <w:rFonts w:ascii="Arial" w:hAnsi="Arial"/>
                <w:sz w:val="14"/>
              </w:rPr>
              <w:t>H</w:t>
            </w:r>
          </w:p>
        </w:tc>
        <w:tc>
          <w:tcPr>
            <w:tcW w:type="dxa" w:w="3636"/>
            <w:vAlign w:val="top"/>
          </w:tcPr>
          <w:p>
            <w:pPr>
              <w:spacing w:after="0" w:line="240" w:lineRule="auto"/>
            </w:pPr>
            <w:r>
              <w:rPr>
                <w:rFonts w:ascii="Arial" w:hAnsi="Arial"/>
                <w:sz w:val="14"/>
              </w:rPr>
              <w:t>There is nothing to scale and no demand evidence for the international commitments.</w:t>
            </w:r>
          </w:p>
        </w:tc>
      </w:tr>
      <w:tr>
        <w:tc>
          <w:tcPr>
            <w:tcW w:type="dxa" w:w="3636"/>
            <w:vAlign w:val="top"/>
            <w:shd w:fill="F3F6FA"/>
          </w:tcPr>
          <w:p>
            <w:pPr>
              <w:spacing w:after="0" w:line="240" w:lineRule="auto"/>
            </w:pPr>
            <w:r>
              <w:rPr>
                <w:rFonts w:ascii="Arial" w:hAnsi="Arial"/>
                <w:sz w:val="14"/>
              </w:rPr>
              <w:t>I3 or I4</w:t>
            </w:r>
          </w:p>
        </w:tc>
        <w:tc>
          <w:tcPr>
            <w:tcW w:type="dxa" w:w="3636"/>
            <w:vAlign w:val="top"/>
            <w:shd w:fill="F3F6FA"/>
          </w:tcPr>
          <w:p>
            <w:pPr>
              <w:spacing w:after="0" w:line="240" w:lineRule="auto"/>
            </w:pPr>
            <w:r>
              <w:rPr>
                <w:rFonts w:ascii="Arial" w:hAnsi="Arial"/>
                <w:sz w:val="14"/>
              </w:rPr>
              <w:t>I7 Enterprise Reorganization</w:t>
            </w:r>
          </w:p>
        </w:tc>
        <w:tc>
          <w:tcPr>
            <w:tcW w:type="dxa" w:w="3636"/>
            <w:vAlign w:val="top"/>
            <w:shd w:fill="F3F6FA"/>
          </w:tcPr>
          <w:p>
            <w:pPr>
              <w:spacing w:after="0" w:line="240" w:lineRule="auto"/>
            </w:pPr>
            <w:r>
              <w:rPr>
                <w:rFonts w:ascii="Arial" w:hAnsi="Arial"/>
                <w:sz w:val="14"/>
              </w:rPr>
              <w:t>E</w:t>
            </w:r>
          </w:p>
        </w:tc>
        <w:tc>
          <w:tcPr>
            <w:tcW w:type="dxa" w:w="3636"/>
            <w:vAlign w:val="top"/>
            <w:shd w:fill="F3F6FA"/>
          </w:tcPr>
          <w:p>
            <w:pPr>
              <w:spacing w:after="0" w:line="240" w:lineRule="auto"/>
            </w:pPr>
            <w:r>
              <w:rPr>
                <w:rFonts w:ascii="Arial" w:hAnsi="Arial"/>
                <w:sz w:val="14"/>
              </w:rPr>
              <w:t>A one-service DTC business would not justify moving monetization of all content into one distribution group.</w:t>
            </w:r>
          </w:p>
        </w:tc>
      </w:tr>
    </w:tbl>
    <w:p>
      <w:pPr>
        <w:spacing w:after="40"/>
      </w:pPr>
    </w:p>
    <w:p>
      <w:pPr>
        <w:spacing w:after="60"/>
      </w:pPr>
      <w:r>
        <w:rPr>
          <w:rFonts w:ascii="Arial" w:hAnsi="Arial"/>
        </w:rPr>
        <w:t>Conclusion: removing I1 makes I3 and I5 impossible on their actual timelines (hard). Removing I2 makes I5 impossible as launched, because no P&amp;L could carry its losses (economic), and leaves I4 without an owner (organizational). Neither Crawl initiative is misclassified, so the roadmap is sequenced by dependency, not by category. The weakest link is #3, which is organizational. We keep it because I4's readiness signal (the bundle) needs one owner across all three services, and only I2 creates that owner.</w:t>
      </w:r>
    </w:p>
    <w:p>
      <w:pPr>
        <w:pStyle w:val="Heading1"/>
        <w:spacing w:after="60"/>
      </w:pPr>
      <w:r>
        <w:rPr>
          <w:rFonts w:ascii="Arial" w:hAnsi="Arial"/>
        </w:rPr>
        <w:t>6. Phase rationale: why each phase must precede the next</w:t>
      </w:r>
    </w:p>
    <w:p>
      <w:pPr>
        <w:pStyle w:val="Heading2"/>
        <w:spacing w:after="60"/>
      </w:pPr>
      <w:r>
        <w:rPr>
          <w:rFonts w:ascii="Arial" w:hAnsi="Arial"/>
        </w:rPr>
        <w:t>Crawl → Walk (85 words)</w:t>
      </w:r>
    </w:p>
    <w:p>
      <w:pPr>
        <w:spacing w:after="60"/>
      </w:pPr>
      <w:r>
        <w:rPr>
          <w:rFonts w:ascii="Arial" w:hAnsi="Arial"/>
        </w:rPr>
        <w:t>Crawl creates the two capabilities every Walk initiative consumes, and neither depends on the other. I1 gives Disney an owned video, billing and consumer-data stack (majority control from September 2017). I2 gives direct-to-consumer one accountable chairman, with BAMTech, the DTC services and the Hulu stake under him (March 2018). Both must come first. Without I1, ESPN+ and Disney+ have no platform and Disney keeps renting distribution. Without I2, Disney+'s launch losses would land in studio and network P&amp;Ls that are paid to protect licensing income.</w:t>
      </w:r>
    </w:p>
    <w:p>
      <w:pPr>
        <w:pStyle w:val="Heading2"/>
        <w:spacing w:after="60"/>
      </w:pPr>
      <w:r>
        <w:rPr>
          <w:rFonts w:ascii="Arial" w:hAnsi="Arial"/>
        </w:rPr>
        <w:t>Walk → Run (91 words)</w:t>
      </w:r>
    </w:p>
    <w:p>
      <w:pPr>
        <w:spacing w:after="60"/>
      </w:pPr>
      <w:r>
        <w:rPr>
          <w:rFonts w:ascii="Arial" w:hAnsi="Arial"/>
        </w:rPr>
        <w:t>Walk spends the Crawl capabilities on three bounded bets, each one step wider than the last: a sports-only product (I3), a second brand under portfolio ownership (I4), then the flagship in five markets (I5). Each produced a signal leadership could audit before committing abroad: 1.4M ESPN+ subscribers within nine months, 30.4M Hulu subscribers in the first bundle quarter, and 26.5M Disney+ subscribers in seven weeks. Walk must precede Run because international launches add fixed, hard-to-reverse costs (rights, localization, local partners) that are rational only once demand and platform capacity are demonstrated.</w:t>
      </w:r>
    </w:p>
    <w:p>
      <w:pPr>
        <w:pStyle w:val="Heading2"/>
        <w:spacing w:after="60"/>
      </w:pPr>
      <w:r>
        <w:rPr>
          <w:rFonts w:ascii="Arial" w:hAnsi="Arial"/>
        </w:rPr>
        <w:t>Run: why it comes last (91 words)</w:t>
      </w:r>
    </w:p>
    <w:p>
      <w:pPr>
        <w:spacing w:after="60"/>
      </w:pPr>
      <w:r>
        <w:rPr>
          <w:rFonts w:ascii="Arial" w:hAnsi="Arial"/>
        </w:rPr>
        <w:t>Run converts proven demand into structure. I6 scales I5 from five markets to Europe, India, Japan and Latin America. Its organizational change is a local-market operating model: Hotstar's platform and team in India, local catalogs and pricing in Europe, and regional teams reporting into a single DTC owner. I7 scales the three-service portfolio into the enterprise by moving distribution, monetization and P&amp;L into one distribution group, separate from content creation. Run comes last because both moves are expensive to reverse. I7 came only after the portfolio passed 100 million paid subscriptions.</w:t>
      </w:r>
    </w:p>
    <w:p>
      <w:pPr>
        <w:pStyle w:val="Heading1"/>
        <w:spacing w:after="60"/>
      </w:pPr>
      <w:r>
        <w:rPr>
          <w:rFonts w:ascii="Arial" w:hAnsi="Arial"/>
        </w:rPr>
        <w:t>7. Sources by initiative</w:t>
      </w:r>
    </w:p>
    <w:p>
      <w:pPr>
        <w:spacing w:after="60"/>
      </w:pPr>
      <w:r>
        <w:rPr>
          <w:rFonts w:ascii="Arial" w:hAnsi="Arial"/>
        </w:rPr>
        <w:t>Each initiative is attributed to an SEC filing or an investor-event transcript. News and company press releases are used only to corroborate a date. Readiness signals come from SEC-filed earnings exhibits (Form 8-K, Ex. 99.1).</w:t>
      </w:r>
    </w:p>
    <w:tbl>
      <w:tblPr>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2909"/>
            <w:vAlign w:val="top"/>
            <w:shd w:fill="173B6D"/>
          </w:tcPr>
          <w:p>
            <w:pPr>
              <w:spacing w:after="0" w:line="240" w:lineRule="auto"/>
            </w:pPr>
            <w:r>
              <w:rPr>
                <w:rFonts w:ascii="Arial" w:hAnsi="Arial"/>
                <w:b/>
                <w:color w:val="FFFFFF"/>
                <w:sz w:val="14"/>
              </w:rPr>
              <w:t>ID</w:t>
            </w:r>
          </w:p>
        </w:tc>
        <w:tc>
          <w:tcPr>
            <w:tcW w:type="dxa" w:w="2909"/>
            <w:vAlign w:val="top"/>
            <w:shd w:fill="173B6D"/>
          </w:tcPr>
          <w:p>
            <w:pPr>
              <w:spacing w:after="0" w:line="240" w:lineRule="auto"/>
            </w:pPr>
            <w:r>
              <w:rPr>
                <w:rFonts w:ascii="Arial" w:hAnsi="Arial"/>
                <w:b/>
                <w:color w:val="FFFFFF"/>
                <w:sz w:val="14"/>
              </w:rPr>
              <w:t>Primary source (initiative attribution)</w:t>
            </w:r>
          </w:p>
        </w:tc>
        <w:tc>
          <w:tcPr>
            <w:tcW w:type="dxa" w:w="2909"/>
            <w:vAlign w:val="top"/>
            <w:shd w:fill="173B6D"/>
          </w:tcPr>
          <w:p>
            <w:pPr>
              <w:spacing w:after="0" w:line="240" w:lineRule="auto"/>
            </w:pPr>
            <w:r>
              <w:rPr>
                <w:rFonts w:ascii="Arial" w:hAnsi="Arial"/>
                <w:b/>
                <w:color w:val="FFFFFF"/>
                <w:sz w:val="14"/>
              </w:rPr>
              <w:t>Corroborating source</w:t>
            </w:r>
          </w:p>
        </w:tc>
        <w:tc>
          <w:tcPr>
            <w:tcW w:type="dxa" w:w="2909"/>
            <w:vAlign w:val="top"/>
            <w:shd w:fill="173B6D"/>
          </w:tcPr>
          <w:p>
            <w:pPr>
              <w:spacing w:after="0" w:line="240" w:lineRule="auto"/>
            </w:pPr>
            <w:r>
              <w:rPr>
                <w:rFonts w:ascii="Arial" w:hAnsi="Arial"/>
                <w:b/>
                <w:color w:val="FFFFFF"/>
                <w:sz w:val="14"/>
              </w:rPr>
              <w:t>Facts used</w:t>
            </w:r>
          </w:p>
        </w:tc>
        <w:tc>
          <w:tcPr>
            <w:tcW w:type="dxa" w:w="2909"/>
            <w:vAlign w:val="top"/>
            <w:shd w:fill="173B6D"/>
          </w:tcPr>
          <w:p>
            <w:pPr>
              <w:spacing w:after="0" w:line="240" w:lineRule="auto"/>
            </w:pPr>
            <w:r>
              <w:rPr>
                <w:rFonts w:ascii="Arial" w:hAnsi="Arial"/>
                <w:b/>
                <w:color w:val="FFFFFF"/>
                <w:sz w:val="14"/>
              </w:rPr>
              <w:t>Verified by (initials)</w:t>
            </w:r>
          </w:p>
        </w:tc>
      </w:tr>
      <w:tr>
        <w:tc>
          <w:tcPr>
            <w:tcW w:type="dxa" w:w="2909"/>
            <w:vAlign w:val="top"/>
          </w:tcPr>
          <w:p>
            <w:pPr>
              <w:spacing w:after="0" w:line="240" w:lineRule="auto"/>
            </w:pPr>
            <w:r>
              <w:rPr>
                <w:rFonts w:ascii="Arial" w:hAnsi="Arial"/>
                <w:sz w:val="14"/>
              </w:rPr>
              <w:t>I1</w:t>
            </w:r>
          </w:p>
        </w:tc>
        <w:tc>
          <w:tcPr>
            <w:tcW w:type="dxa" w:w="2909"/>
            <w:vAlign w:val="top"/>
          </w:tcPr>
          <w:p>
            <w:pPr>
              <w:spacing w:after="0" w:line="240" w:lineRule="auto"/>
            </w:pPr>
            <w:r>
              <w:rPr>
                <w:rFonts w:ascii="Arial" w:hAnsi="Arial"/>
                <w:sz w:val="14"/>
              </w:rPr>
              <w:t>Walt Disney Co., Form 10-K FY2018, Item 1 (BAMTech "owned 75% by the Company since September 25, 2017")</w:t>
            </w:r>
          </w:p>
        </w:tc>
        <w:tc>
          <w:tcPr>
            <w:tcW w:type="dxa" w:w="2909"/>
            <w:vAlign w:val="top"/>
          </w:tcPr>
          <w:p>
            <w:pPr>
              <w:spacing w:after="0" w:line="240" w:lineRule="auto"/>
            </w:pPr>
            <w:r>
              <w:rPr>
                <w:rFonts w:ascii="Arial" w:hAnsi="Arial"/>
                <w:sz w:val="14"/>
              </w:rPr>
              <w:t>Disney announcement, Aug 8, 2017 ($1.58B for an additional 42%)</w:t>
            </w:r>
          </w:p>
        </w:tc>
        <w:tc>
          <w:tcPr>
            <w:tcW w:type="dxa" w:w="2909"/>
            <w:vAlign w:val="top"/>
          </w:tcPr>
          <w:p>
            <w:pPr>
              <w:spacing w:after="0" w:line="240" w:lineRule="auto"/>
            </w:pPr>
            <w:r>
              <w:rPr>
                <w:rFonts w:ascii="Arial" w:hAnsi="Arial"/>
                <w:sz w:val="14"/>
              </w:rPr>
              <w:t>Control date; platform; Netflix exit</w:t>
            </w:r>
          </w:p>
        </w:tc>
        <w:tc>
          <w:tcPr>
            <w:tcW w:type="dxa" w:w="2909"/>
            <w:vAlign w:val="top"/>
          </w:tcPr>
          <w:p>
            <w:pPr>
              <w:spacing w:after="0" w:line="240" w:lineRule="auto"/>
            </w:pPr>
            <w:r>
              <w:rPr>
                <w:rFonts w:ascii="Arial" w:hAnsi="Arial"/>
                <w:sz w:val="14"/>
              </w:rPr>
              <w:t>__</w:t>
            </w:r>
          </w:p>
        </w:tc>
      </w:tr>
      <w:tr>
        <w:tc>
          <w:tcPr>
            <w:tcW w:type="dxa" w:w="2909"/>
            <w:vAlign w:val="top"/>
            <w:shd w:fill="F3F6FA"/>
          </w:tcPr>
          <w:p>
            <w:pPr>
              <w:spacing w:after="0" w:line="240" w:lineRule="auto"/>
            </w:pPr>
            <w:r>
              <w:rPr>
                <w:rFonts w:ascii="Arial" w:hAnsi="Arial"/>
                <w:sz w:val="14"/>
              </w:rPr>
              <w:t>I2</w:t>
            </w:r>
          </w:p>
        </w:tc>
        <w:tc>
          <w:tcPr>
            <w:tcW w:type="dxa" w:w="2909"/>
            <w:vAlign w:val="top"/>
            <w:shd w:fill="F3F6FA"/>
          </w:tcPr>
          <w:p>
            <w:pPr>
              <w:spacing w:after="0" w:line="240" w:lineRule="auto"/>
            </w:pPr>
            <w:r>
              <w:rPr>
                <w:rFonts w:ascii="Arial" w:hAnsi="Arial"/>
                <w:sz w:val="14"/>
              </w:rPr>
              <w:t>Form 8-K, Feb 15, 2019, Ex. 99.1: Updates to Form 10-K FY2018 (DTCI segment: reorganization "announced in fiscal 2018"; scope)</w:t>
            </w:r>
          </w:p>
        </w:tc>
        <w:tc>
          <w:tcPr>
            <w:tcW w:type="dxa" w:w="2909"/>
            <w:vAlign w:val="top"/>
            <w:shd w:fill="F3F6FA"/>
          </w:tcPr>
          <w:p>
            <w:pPr>
              <w:spacing w:after="0" w:line="240" w:lineRule="auto"/>
            </w:pPr>
            <w:r>
              <w:rPr>
                <w:rFonts w:ascii="Arial" w:hAnsi="Arial"/>
                <w:sz w:val="14"/>
              </w:rPr>
              <w:t>Disney announcement, Mar 14, 2018 (Kevin Mayer named Chairman, DTCI)</w:t>
            </w:r>
          </w:p>
        </w:tc>
        <w:tc>
          <w:tcPr>
            <w:tcW w:type="dxa" w:w="2909"/>
            <w:vAlign w:val="top"/>
            <w:shd w:fill="F3F6FA"/>
          </w:tcPr>
          <w:p>
            <w:pPr>
              <w:spacing w:after="0" w:line="240" w:lineRule="auto"/>
            </w:pPr>
            <w:r>
              <w:rPr>
                <w:rFonts w:ascii="Arial" w:hAnsi="Arial"/>
                <w:sz w:val="14"/>
              </w:rPr>
              <w:t>Owner; segment scope incl. Hulu stake</w:t>
            </w:r>
          </w:p>
        </w:tc>
        <w:tc>
          <w:tcPr>
            <w:tcW w:type="dxa" w:w="2909"/>
            <w:vAlign w:val="top"/>
            <w:shd w:fill="F3F6FA"/>
          </w:tcPr>
          <w:p>
            <w:pPr>
              <w:spacing w:after="0" w:line="240" w:lineRule="auto"/>
            </w:pPr>
            <w:r>
              <w:rPr>
                <w:rFonts w:ascii="Arial" w:hAnsi="Arial"/>
                <w:sz w:val="14"/>
              </w:rPr>
              <w:t>__</w:t>
            </w:r>
          </w:p>
        </w:tc>
      </w:tr>
      <w:tr>
        <w:tc>
          <w:tcPr>
            <w:tcW w:type="dxa" w:w="2909"/>
            <w:vAlign w:val="top"/>
          </w:tcPr>
          <w:p>
            <w:pPr>
              <w:spacing w:after="0" w:line="240" w:lineRule="auto"/>
            </w:pPr>
            <w:r>
              <w:rPr>
                <w:rFonts w:ascii="Arial" w:hAnsi="Arial"/>
                <w:sz w:val="14"/>
              </w:rPr>
              <w:t>I3</w:t>
            </w:r>
          </w:p>
        </w:tc>
        <w:tc>
          <w:tcPr>
            <w:tcW w:type="dxa" w:w="2909"/>
            <w:vAlign w:val="top"/>
          </w:tcPr>
          <w:p>
            <w:pPr>
              <w:spacing w:after="0" w:line="240" w:lineRule="auto"/>
            </w:pPr>
            <w:r>
              <w:rPr>
                <w:rFonts w:ascii="Arial" w:hAnsi="Arial"/>
                <w:sz w:val="14"/>
              </w:rPr>
              <w:t>Form 10-K FY2018, Item 1 (ESPN+ "launched in April 2018")</w:t>
            </w:r>
          </w:p>
        </w:tc>
        <w:tc>
          <w:tcPr>
            <w:tcW w:type="dxa" w:w="2909"/>
            <w:vAlign w:val="top"/>
          </w:tcPr>
          <w:p>
            <w:pPr>
              <w:spacing w:after="0" w:line="240" w:lineRule="auto"/>
            </w:pPr>
            <w:r>
              <w:rPr>
                <w:rFonts w:ascii="Arial" w:hAnsi="Arial"/>
                <w:sz w:val="14"/>
              </w:rPr>
              <w:t>Q1 FY2020 earnings release, SEC Form 8-K Ex. 99.1, Feb 4, 2020 (1.4M at Dec 29, 2018; 6.6M at Dec 28, 2019)</w:t>
            </w:r>
          </w:p>
        </w:tc>
        <w:tc>
          <w:tcPr>
            <w:tcW w:type="dxa" w:w="2909"/>
            <w:vAlign w:val="top"/>
          </w:tcPr>
          <w:p>
            <w:pPr>
              <w:spacing w:after="0" w:line="240" w:lineRule="auto"/>
            </w:pPr>
            <w:r>
              <w:rPr>
                <w:rFonts w:ascii="Arial" w:hAnsi="Arial"/>
                <w:sz w:val="14"/>
              </w:rPr>
              <w:t>Launch; readiness signal</w:t>
            </w:r>
          </w:p>
        </w:tc>
        <w:tc>
          <w:tcPr>
            <w:tcW w:type="dxa" w:w="2909"/>
            <w:vAlign w:val="top"/>
          </w:tcPr>
          <w:p>
            <w:pPr>
              <w:spacing w:after="0" w:line="240" w:lineRule="auto"/>
            </w:pPr>
            <w:r>
              <w:rPr>
                <w:rFonts w:ascii="Arial" w:hAnsi="Arial"/>
                <w:sz w:val="14"/>
              </w:rPr>
              <w:t>__</w:t>
            </w:r>
          </w:p>
        </w:tc>
      </w:tr>
      <w:tr>
        <w:tc>
          <w:tcPr>
            <w:tcW w:type="dxa" w:w="2909"/>
            <w:vAlign w:val="top"/>
            <w:shd w:fill="F3F6FA"/>
          </w:tcPr>
          <w:p>
            <w:pPr>
              <w:spacing w:after="0" w:line="240" w:lineRule="auto"/>
            </w:pPr>
            <w:r>
              <w:rPr>
                <w:rFonts w:ascii="Arial" w:hAnsi="Arial"/>
                <w:sz w:val="14"/>
              </w:rPr>
              <w:t>I4</w:t>
            </w:r>
          </w:p>
        </w:tc>
        <w:tc>
          <w:tcPr>
            <w:tcW w:type="dxa" w:w="2909"/>
            <w:vAlign w:val="top"/>
            <w:shd w:fill="F3F6FA"/>
          </w:tcPr>
          <w:p>
            <w:pPr>
              <w:spacing w:after="0" w:line="240" w:lineRule="auto"/>
            </w:pPr>
            <w:r>
              <w:rPr>
                <w:rFonts w:ascii="Arial" w:hAnsi="Arial"/>
                <w:sz w:val="14"/>
              </w:rPr>
              <w:t>Form 10-K FY2019, Item 1 (May 2019: 67% stake; put/call agreement giving "full operational control")</w:t>
            </w:r>
          </w:p>
        </w:tc>
        <w:tc>
          <w:tcPr>
            <w:tcW w:type="dxa" w:w="2909"/>
            <w:vAlign w:val="top"/>
            <w:shd w:fill="F3F6FA"/>
          </w:tcPr>
          <w:p>
            <w:pPr>
              <w:spacing w:after="0" w:line="240" w:lineRule="auto"/>
            </w:pPr>
            <w:r>
              <w:rPr>
                <w:rFonts w:ascii="Arial" w:hAnsi="Arial"/>
                <w:sz w:val="14"/>
              </w:rPr>
              <w:t>Q3 FY2019 earnings call, Aug 6, 2019 ($12.99 bundle); Q1 FY2020 earnings release, SEC Form 8-K Ex. 99.1 (Hulu 30.4M at Dec 28, 2019; 22.8M a year earlier)</w:t>
            </w:r>
          </w:p>
        </w:tc>
        <w:tc>
          <w:tcPr>
            <w:tcW w:type="dxa" w:w="2909"/>
            <w:vAlign w:val="top"/>
            <w:shd w:fill="F3F6FA"/>
          </w:tcPr>
          <w:p>
            <w:pPr>
              <w:spacing w:after="0" w:line="240" w:lineRule="auto"/>
            </w:pPr>
            <w:r>
              <w:rPr>
                <w:rFonts w:ascii="Arial" w:hAnsi="Arial"/>
                <w:sz w:val="14"/>
              </w:rPr>
              <w:t>Control; readiness signal</w:t>
            </w:r>
          </w:p>
        </w:tc>
        <w:tc>
          <w:tcPr>
            <w:tcW w:type="dxa" w:w="2909"/>
            <w:vAlign w:val="top"/>
            <w:shd w:fill="F3F6FA"/>
          </w:tcPr>
          <w:p>
            <w:pPr>
              <w:spacing w:after="0" w:line="240" w:lineRule="auto"/>
            </w:pPr>
            <w:r>
              <w:rPr>
                <w:rFonts w:ascii="Arial" w:hAnsi="Arial"/>
                <w:sz w:val="14"/>
              </w:rPr>
              <w:t>__</w:t>
            </w:r>
          </w:p>
        </w:tc>
      </w:tr>
      <w:tr>
        <w:tc>
          <w:tcPr>
            <w:tcW w:type="dxa" w:w="2909"/>
            <w:vAlign w:val="top"/>
          </w:tcPr>
          <w:p>
            <w:pPr>
              <w:spacing w:after="0" w:line="240" w:lineRule="auto"/>
            </w:pPr>
            <w:r>
              <w:rPr>
                <w:rFonts w:ascii="Arial" w:hAnsi="Arial"/>
                <w:sz w:val="14"/>
              </w:rPr>
              <w:t>I5</w:t>
            </w:r>
          </w:p>
        </w:tc>
        <w:tc>
          <w:tcPr>
            <w:tcW w:type="dxa" w:w="2909"/>
            <w:vAlign w:val="top"/>
          </w:tcPr>
          <w:p>
            <w:pPr>
              <w:spacing w:after="0" w:line="240" w:lineRule="auto"/>
            </w:pPr>
            <w:r>
              <w:rPr>
                <w:rFonts w:ascii="Arial" w:hAnsi="Arial"/>
                <w:sz w:val="14"/>
              </w:rPr>
              <w:t>Form 10-K FY2019, Item 1 (Nov 2019 launch in the US and four other countries); Investor Day transcript, Apr 11, 2019 (FY2024 targets)</w:t>
            </w:r>
          </w:p>
        </w:tc>
        <w:tc>
          <w:tcPr>
            <w:tcW w:type="dxa" w:w="2909"/>
            <w:vAlign w:val="top"/>
          </w:tcPr>
          <w:p>
            <w:pPr>
              <w:spacing w:after="0" w:line="240" w:lineRule="auto"/>
            </w:pPr>
            <w:r>
              <w:rPr>
                <w:rFonts w:ascii="Arial" w:hAnsi="Arial"/>
                <w:sz w:val="14"/>
              </w:rPr>
              <w:t>Q1 FY2020 earnings release, SEC Form 8-K Ex. 99.1, Feb 4, 2020 (26.5M paid; DTCI loss)</w:t>
            </w:r>
          </w:p>
        </w:tc>
        <w:tc>
          <w:tcPr>
            <w:tcW w:type="dxa" w:w="2909"/>
            <w:vAlign w:val="top"/>
          </w:tcPr>
          <w:p>
            <w:pPr>
              <w:spacing w:after="0" w:line="240" w:lineRule="auto"/>
            </w:pPr>
            <w:r>
              <w:rPr>
                <w:rFonts w:ascii="Arial" w:hAnsi="Arial"/>
                <w:sz w:val="14"/>
              </w:rPr>
              <w:t>Scope; target; readiness signal</w:t>
            </w:r>
          </w:p>
        </w:tc>
        <w:tc>
          <w:tcPr>
            <w:tcW w:type="dxa" w:w="2909"/>
            <w:vAlign w:val="top"/>
          </w:tcPr>
          <w:p>
            <w:pPr>
              <w:spacing w:after="0" w:line="240" w:lineRule="auto"/>
            </w:pPr>
            <w:r>
              <w:rPr>
                <w:rFonts w:ascii="Arial" w:hAnsi="Arial"/>
                <w:sz w:val="14"/>
              </w:rPr>
              <w:t>__</w:t>
            </w:r>
          </w:p>
        </w:tc>
      </w:tr>
      <w:tr>
        <w:tc>
          <w:tcPr>
            <w:tcW w:type="dxa" w:w="2909"/>
            <w:vAlign w:val="top"/>
            <w:shd w:fill="F3F6FA"/>
          </w:tcPr>
          <w:p>
            <w:pPr>
              <w:spacing w:after="0" w:line="240" w:lineRule="auto"/>
            </w:pPr>
            <w:r>
              <w:rPr>
                <w:rFonts w:ascii="Arial" w:hAnsi="Arial"/>
                <w:sz w:val="14"/>
              </w:rPr>
              <w:t>I6</w:t>
            </w:r>
          </w:p>
        </w:tc>
        <w:tc>
          <w:tcPr>
            <w:tcW w:type="dxa" w:w="2909"/>
            <w:vAlign w:val="top"/>
            <w:shd w:fill="F3F6FA"/>
          </w:tcPr>
          <w:p>
            <w:pPr>
              <w:spacing w:after="0" w:line="240" w:lineRule="auto"/>
            </w:pPr>
            <w:r>
              <w:rPr>
                <w:rFonts w:ascii="Arial" w:hAnsi="Arial"/>
                <w:sz w:val="14"/>
              </w:rPr>
              <w:t>Form 10-K FY2020, Item 1 (Western Europe spring 2020; Disney+Hotstar April; Japan June; Europe September; Latin America November; ~74M paid)</w:t>
            </w:r>
          </w:p>
        </w:tc>
        <w:tc>
          <w:tcPr>
            <w:tcW w:type="dxa" w:w="2909"/>
            <w:vAlign w:val="top"/>
            <w:shd w:fill="F3F6FA"/>
          </w:tcPr>
          <w:p>
            <w:pPr>
              <w:spacing w:after="0" w:line="240" w:lineRule="auto"/>
            </w:pPr>
            <w:r>
              <w:rPr>
                <w:rFonts w:ascii="Arial" w:hAnsi="Arial"/>
                <w:sz w:val="14"/>
              </w:rPr>
              <w:t>Disney+ EMEA date change, Jan 21, 2020; India postponement coverage, Mar 2020; Q4 FY2020 earnings release (73.7M)</w:t>
            </w:r>
          </w:p>
        </w:tc>
        <w:tc>
          <w:tcPr>
            <w:tcW w:type="dxa" w:w="2909"/>
            <w:vAlign w:val="top"/>
            <w:shd w:fill="F3F6FA"/>
          </w:tcPr>
          <w:p>
            <w:pPr>
              <w:spacing w:after="0" w:line="240" w:lineRule="auto"/>
            </w:pPr>
            <w:r>
              <w:rPr>
                <w:rFonts w:ascii="Arial" w:hAnsi="Arial"/>
                <w:sz w:val="14"/>
              </w:rPr>
              <w:t>Scope; dates; outcome</w:t>
            </w:r>
          </w:p>
        </w:tc>
        <w:tc>
          <w:tcPr>
            <w:tcW w:type="dxa" w:w="2909"/>
            <w:vAlign w:val="top"/>
            <w:shd w:fill="F3F6FA"/>
          </w:tcPr>
          <w:p>
            <w:pPr>
              <w:spacing w:after="0" w:line="240" w:lineRule="auto"/>
            </w:pPr>
            <w:r>
              <w:rPr>
                <w:rFonts w:ascii="Arial" w:hAnsi="Arial"/>
                <w:sz w:val="14"/>
              </w:rPr>
              <w:t>__</w:t>
            </w:r>
          </w:p>
        </w:tc>
      </w:tr>
      <w:tr>
        <w:tc>
          <w:tcPr>
            <w:tcW w:type="dxa" w:w="2909"/>
            <w:vAlign w:val="top"/>
          </w:tcPr>
          <w:p>
            <w:pPr>
              <w:spacing w:after="0" w:line="240" w:lineRule="auto"/>
            </w:pPr>
            <w:r>
              <w:rPr>
                <w:rFonts w:ascii="Arial" w:hAnsi="Arial"/>
                <w:sz w:val="14"/>
              </w:rPr>
              <w:t>I7</w:t>
            </w:r>
          </w:p>
        </w:tc>
        <w:tc>
          <w:tcPr>
            <w:tcW w:type="dxa" w:w="2909"/>
            <w:vAlign w:val="top"/>
          </w:tcPr>
          <w:p>
            <w:pPr>
              <w:spacing w:after="0" w:line="240" w:lineRule="auto"/>
            </w:pPr>
            <w:r>
              <w:rPr>
                <w:rFonts w:ascii="Arial" w:hAnsi="Arial"/>
                <w:sz w:val="14"/>
              </w:rPr>
              <w:t>Form 10-K FY2020, Item 1 (Oct 2020 reorganization: three content groups and one distribution group)</w:t>
            </w:r>
          </w:p>
        </w:tc>
        <w:tc>
          <w:tcPr>
            <w:tcW w:type="dxa" w:w="2909"/>
            <w:vAlign w:val="top"/>
          </w:tcPr>
          <w:p>
            <w:pPr>
              <w:spacing w:after="0" w:line="240" w:lineRule="auto"/>
            </w:pPr>
            <w:r>
              <w:rPr>
                <w:rFonts w:ascii="Arial" w:hAnsi="Arial"/>
                <w:sz w:val="14"/>
              </w:rPr>
              <w:t>Disney announcement, Oct 12, 2020 (DMED; Kareem Daniel, Chairman)</w:t>
            </w:r>
          </w:p>
        </w:tc>
        <w:tc>
          <w:tcPr>
            <w:tcW w:type="dxa" w:w="2909"/>
            <w:vAlign w:val="top"/>
          </w:tcPr>
          <w:p>
            <w:pPr>
              <w:spacing w:after="0" w:line="240" w:lineRule="auto"/>
            </w:pPr>
            <w:r>
              <w:rPr>
                <w:rFonts w:ascii="Arial" w:hAnsi="Arial"/>
                <w:sz w:val="14"/>
              </w:rPr>
              <w:t>Org change</w:t>
            </w:r>
          </w:p>
        </w:tc>
        <w:tc>
          <w:tcPr>
            <w:tcW w:type="dxa" w:w="2909"/>
            <w:vAlign w:val="top"/>
          </w:tcPr>
          <w:p>
            <w:pPr>
              <w:spacing w:after="0" w:line="240" w:lineRule="auto"/>
            </w:pPr>
            <w:r>
              <w:rPr>
                <w:rFonts w:ascii="Arial" w:hAnsi="Arial"/>
                <w:sz w:val="14"/>
              </w:rPr>
              <w:t>__</w:t>
            </w:r>
          </w:p>
        </w:tc>
      </w:tr>
      <w:tr>
        <w:tc>
          <w:tcPr>
            <w:tcW w:type="dxa" w:w="2909"/>
            <w:vAlign w:val="top"/>
            <w:shd w:fill="F3F6FA"/>
          </w:tcPr>
          <w:p>
            <w:pPr>
              <w:spacing w:after="0" w:line="240" w:lineRule="auto"/>
            </w:pPr>
            <w:r>
              <w:rPr>
                <w:rFonts w:ascii="Arial" w:hAnsi="Arial"/>
                <w:sz w:val="14"/>
              </w:rPr>
              <w:t>E1</w:t>
            </w:r>
          </w:p>
        </w:tc>
        <w:tc>
          <w:tcPr>
            <w:tcW w:type="dxa" w:w="2909"/>
            <w:vAlign w:val="top"/>
            <w:shd w:fill="F3F6FA"/>
          </w:tcPr>
          <w:p>
            <w:pPr>
              <w:spacing w:after="0" w:line="240" w:lineRule="auto"/>
            </w:pPr>
            <w:r>
              <w:rPr>
                <w:rFonts w:ascii="Arial" w:hAnsi="Arial"/>
                <w:sz w:val="14"/>
              </w:rPr>
              <w:t>Form 10-K FY2019 (21CF acquired Mar 20, 2019; Hulu 60% → 67%)</w:t>
            </w:r>
          </w:p>
        </w:tc>
        <w:tc>
          <w:tcPr>
            <w:tcW w:type="dxa" w:w="2909"/>
            <w:vAlign w:val="top"/>
            <w:shd w:fill="F3F6FA"/>
          </w:tcPr>
          <w:p>
            <w:pPr>
              <w:spacing w:after="0" w:line="240" w:lineRule="auto"/>
            </w:pPr>
            <w:r>
              <w:rPr>
                <w:rFonts w:ascii="Arial" w:hAnsi="Arial"/>
                <w:sz w:val="14"/>
              </w:rPr>
              <w:t>None needed</w:t>
            </w:r>
          </w:p>
        </w:tc>
        <w:tc>
          <w:tcPr>
            <w:tcW w:type="dxa" w:w="2909"/>
            <w:vAlign w:val="top"/>
            <w:shd w:fill="F3F6FA"/>
          </w:tcPr>
          <w:p>
            <w:pPr>
              <w:spacing w:after="0" w:line="240" w:lineRule="auto"/>
            </w:pPr>
            <w:r>
              <w:rPr>
                <w:rFonts w:ascii="Arial" w:hAnsi="Arial"/>
                <w:sz w:val="14"/>
              </w:rPr>
              <w:t>Hulu stake; Star India</w:t>
            </w:r>
          </w:p>
        </w:tc>
        <w:tc>
          <w:tcPr>
            <w:tcW w:type="dxa" w:w="2909"/>
            <w:vAlign w:val="top"/>
            <w:shd w:fill="F3F6FA"/>
          </w:tcPr>
          <w:p>
            <w:pPr>
              <w:spacing w:after="0" w:line="240" w:lineRule="auto"/>
            </w:pPr>
            <w:r>
              <w:rPr>
                <w:rFonts w:ascii="Arial" w:hAnsi="Arial"/>
                <w:sz w:val="14"/>
              </w:rPr>
              <w:t>__</w:t>
            </w:r>
          </w:p>
        </w:tc>
      </w:tr>
    </w:tbl>
    <w:p>
      <w:pPr>
        <w:spacing w:after="40"/>
      </w:pPr>
    </w:p>
    <w:p>
      <w:pPr>
        <w:pStyle w:val="Heading1"/>
        <w:spacing w:after="60"/>
      </w:pPr>
      <w:r>
        <w:rPr>
          <w:rFonts w:ascii="Arial" w:hAnsi="Arial"/>
        </w:rPr>
        <w:t>8. Gaps in the public record (stated, not filled)</w:t>
      </w:r>
    </w:p>
    <w:p>
      <w:pPr>
        <w:spacing w:after="60"/>
      </w:pPr>
      <w:r>
        <w:rPr>
          <w:rFonts w:ascii="Arial" w:hAnsi="Arial"/>
        </w:rPr>
        <w:t>Gate criteria and dependency-strength classes are our analysis. Disney published the outcomes, not a Crawl/Walk/Run plan.</w:t>
      </w:r>
    </w:p>
    <w:p>
      <w:pPr>
        <w:spacing w:after="60"/>
      </w:pPr>
      <w:r>
        <w:rPr>
          <w:rFonts w:ascii="Arial" w:hAnsi="Arial"/>
        </w:rPr>
        <w:t>I2 timing. The decision owner was named Mar 14, 2018. DTCI was first reported as a segment from Q1 FY2019, when the FY2018 10-K was recast in Feb 2019. We date I2 by the decision-rights change, which is the capability Walk consumes. ESPN+ was reported under Media Networks in FY2018.</w:t>
      </w:r>
    </w:p>
    <w:p>
      <w:pPr>
        <w:spacing w:after="60"/>
      </w:pPr>
      <w:r>
        <w:rPr>
          <w:rFonts w:ascii="Arial" w:hAnsi="Arial"/>
        </w:rPr>
        <w:t>I1 quarter range ends in Q2 FY2018 by our convention: the build window runs to the quarter before the first paid launch on the stack (ESPN+, Apr 12, 2018, Q3 FY2018).</w:t>
      </w:r>
    </w:p>
    <w:p>
      <w:pPr>
        <w:spacing w:after="60"/>
      </w:pPr>
      <w:r>
        <w:rPr>
          <w:rFonts w:ascii="Arial" w:hAnsi="Arial"/>
        </w:rPr>
        <w:t>ESPN+ readiness uses the first SEC-filed figure (1.4M at Dec 29, 2018). ESPN separately announced 1M paid on Sep 20, 2018; we do not rely on it.</w:t>
      </w:r>
    </w:p>
    <w:p>
      <w:pPr>
        <w:spacing w:after="60"/>
      </w:pPr>
      <w:r>
        <w:rPr>
          <w:rFonts w:ascii="Arial" w:hAnsi="Arial"/>
        </w:rPr>
        <w:t>The bundle appears in the Q3 FY2019 earnings call, not in the FY2019 10-K. Hulu was already growing before May 2019, so the 30.4M signal shows the portfolio working, not that control alone caused the growth.</w:t>
      </w:r>
    </w:p>
    <w:p>
      <w:pPr>
        <w:spacing w:after="60"/>
      </w:pPr>
      <w:r>
        <w:rPr>
          <w:rFonts w:ascii="Arial" w:hAnsi="Arial"/>
        </w:rPr>
        <w:t>Disney gave no reason for moving the European launch forward to Mar 24, 2020. We report the direction of the change, not a motive.</w:t>
      </w:r>
    </w:p>
    <w:p>
      <w:pPr>
        <w:spacing w:after="60"/>
      </w:pPr>
      <w:r>
        <w:rPr>
          <w:rFonts w:ascii="Arial" w:hAnsi="Arial"/>
        </w:rPr>
        <w:t>Disney+ counts include Disney+ Hotstar from April 2020, so I6's outcome mixes very different revenue per subscriber.</w:t>
      </w:r>
    </w:p>
    <w:p>
      <w:pPr>
        <w:spacing w:after="60"/>
      </w:pPr>
      <w:r>
        <w:rPr>
          <w:rFonts w:ascii="Arial" w:hAnsi="Arial"/>
        </w:rPr>
        <w:t>Case age. The arc is 6–9 years old, outside the brief's 2–5-year sweet spot. We accept this in exchange for fully verifiable outcomes.</w:t>
      </w:r>
    </w:p>
    <w:p>
      <w:pPr>
        <w:pStyle w:val="Heading1"/>
        <w:spacing w:after="60"/>
      </w:pPr>
      <w:r>
        <w:rPr>
          <w:rFonts w:ascii="Arial" w:hAnsi="Arial"/>
        </w:rPr>
        <w:t>Appendix A. Roadmap to scale, with phase gates</w:t>
      </w:r>
    </w:p>
    <w:p>
      <w:pPr>
        <w:spacing w:after="100"/>
      </w:pPr>
      <w:r>
        <w:t>Same initiatives and phases as Figure 1, plotted on calendar time. The pale bar on each row is the lead time from its binding dependency (the last prerequisite to arrive), measured from the enabling event as in §5. I1 and I2 have no prerequisite, consistent with the no Crawl-to-Crawl dependency rule. Hatching shows the I6 rollout window.</w:t>
      </w:r>
      <w:r>
        <w:rPr>
          <w:sz w:val="16"/>
        </w:rPr>
      </w:r>
    </w:p>
    <w:p>
      <w:pPr>
        <w:jc w:val="center"/>
      </w:pPr>
      <w:r>
        <w:drawing>
          <wp:inline xmlns:a="http://schemas.openxmlformats.org/drawingml/2006/main" xmlns:pic="http://schemas.openxmlformats.org/drawingml/2006/picture">
            <wp:extent cx="8732520" cy="2931047"/>
            <wp:docPr id="1" name="Picture 1"/>
            <wp:cNvGraphicFramePr>
              <a:graphicFrameLocks noChangeAspect="1"/>
            </wp:cNvGraphicFramePr>
            <a:graphic>
              <a:graphicData uri="http://schemas.openxmlformats.org/drawingml/2006/picture">
                <pic:pic>
                  <pic:nvPicPr>
                    <pic:cNvPr id="0" name="Disney_Roadmap_Phase_Gates.png"/>
                    <pic:cNvPicPr/>
                  </pic:nvPicPr>
                  <pic:blipFill>
                    <a:blip r:embed="rId9"/>
                    <a:stretch>
                      <a:fillRect/>
                    </a:stretch>
                  </pic:blipFill>
                  <pic:spPr>
                    <a:xfrm>
                      <a:off x="0" y="0"/>
                      <a:ext cx="8732520" cy="2931047"/>
                    </a:xfrm>
                    <a:prstGeom prst="rect"/>
                  </pic:spPr>
                </pic:pic>
              </a:graphicData>
            </a:graphic>
          </wp:inline>
        </w:drawing>
      </w:r>
    </w:p>
    <w:tbl>
      <w:tblPr>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vAlign w:val="top"/>
            <w:shd w:fill="173B6D"/>
          </w:tcPr>
          <w:p>
            <w:pPr>
              <w:spacing w:after="0" w:line="240" w:lineRule="auto"/>
            </w:pPr>
            <w:r>
              <w:rPr>
                <w:rFonts w:ascii="Arial" w:hAnsi="Arial"/>
                <w:b/>
                <w:color w:val="FFFFFF"/>
                <w:sz w:val="14"/>
              </w:rPr>
              <w:t>Gate</w:t>
            </w:r>
          </w:p>
        </w:tc>
        <w:tc>
          <w:tcPr>
            <w:tcW w:type="dxa" w:w="3636"/>
            <w:vAlign w:val="top"/>
            <w:shd w:fill="173B6D"/>
          </w:tcPr>
          <w:p>
            <w:pPr>
              <w:spacing w:after="0" w:line="240" w:lineRule="auto"/>
            </w:pPr>
            <w:r>
              <w:rPr>
                <w:rFonts w:ascii="Arial" w:hAnsi="Arial"/>
                <w:b/>
                <w:color w:val="FFFFFF"/>
                <w:sz w:val="14"/>
              </w:rPr>
              <w:t>Evidence required to proceed (our design)</w:t>
            </w:r>
          </w:p>
        </w:tc>
        <w:tc>
          <w:tcPr>
            <w:tcW w:type="dxa" w:w="3636"/>
            <w:vAlign w:val="top"/>
            <w:shd w:fill="173B6D"/>
          </w:tcPr>
          <w:p>
            <w:pPr>
              <w:spacing w:after="0" w:line="240" w:lineRule="auto"/>
            </w:pPr>
            <w:r>
              <w:rPr>
                <w:rFonts w:ascii="Arial" w:hAnsi="Arial"/>
                <w:b/>
                <w:color w:val="FFFFFF"/>
                <w:sz w:val="14"/>
              </w:rPr>
              <w:t>Observed (published)</w:t>
            </w:r>
          </w:p>
        </w:tc>
        <w:tc>
          <w:tcPr>
            <w:tcW w:type="dxa" w:w="3636"/>
            <w:vAlign w:val="top"/>
            <w:shd w:fill="173B6D"/>
          </w:tcPr>
          <w:p>
            <w:pPr>
              <w:spacing w:after="0" w:line="240" w:lineRule="auto"/>
            </w:pPr>
            <w:r>
              <w:rPr>
                <w:rFonts w:ascii="Arial" w:hAnsi="Arial"/>
                <w:b/>
                <w:color w:val="FFFFFF"/>
                <w:sz w:val="14"/>
              </w:rPr>
              <w:t>Verdict</w:t>
            </w:r>
          </w:p>
        </w:tc>
      </w:tr>
      <w:tr>
        <w:tc>
          <w:tcPr>
            <w:tcW w:type="dxa" w:w="3636"/>
            <w:vAlign w:val="top"/>
          </w:tcPr>
          <w:p>
            <w:pPr>
              <w:spacing w:after="0" w:line="240" w:lineRule="auto"/>
            </w:pPr>
            <w:r>
              <w:rPr>
                <w:rFonts w:ascii="Arial" w:hAnsi="Arial"/>
                <w:sz w:val="14"/>
              </w:rPr>
              <w:t>G1 Crawl exit · Q2 FY2018</w:t>
            </w:r>
          </w:p>
        </w:tc>
        <w:tc>
          <w:tcPr>
            <w:tcW w:type="dxa" w:w="3636"/>
            <w:vAlign w:val="top"/>
          </w:tcPr>
          <w:p>
            <w:pPr>
              <w:spacing w:after="0" w:line="240" w:lineRule="auto"/>
            </w:pPr>
            <w:r>
              <w:rPr>
                <w:rFonts w:ascii="Arial" w:hAnsi="Arial"/>
                <w:sz w:val="14"/>
              </w:rPr>
              <w:t>(a) Streaming stack under Disney control. (b) DTC owner named.</w:t>
            </w:r>
          </w:p>
        </w:tc>
        <w:tc>
          <w:tcPr>
            <w:tcW w:type="dxa" w:w="3636"/>
            <w:vAlign w:val="top"/>
          </w:tcPr>
          <w:p>
            <w:pPr>
              <w:spacing w:after="0" w:line="240" w:lineRule="auto"/>
            </w:pPr>
            <w:r>
              <w:rPr>
                <w:rFonts w:ascii="Arial" w:hAnsi="Arial"/>
                <w:sz w:val="14"/>
              </w:rPr>
              <w:t>(a) 75% of BAMTech from Sep 25, 2017. (b) Chairman, DTCI named Mar 14, 2018.</w:t>
            </w:r>
          </w:p>
        </w:tc>
        <w:tc>
          <w:tcPr>
            <w:tcW w:type="dxa" w:w="3636"/>
            <w:vAlign w:val="top"/>
          </w:tcPr>
          <w:p>
            <w:pPr>
              <w:spacing w:after="0" w:line="240" w:lineRule="auto"/>
            </w:pPr>
            <w:r>
              <w:rPr>
                <w:rFonts w:ascii="Arial" w:hAnsi="Arial"/>
                <w:sz w:val="14"/>
              </w:rPr>
              <w:t>Pass</w:t>
            </w:r>
          </w:p>
        </w:tc>
      </w:tr>
      <w:tr>
        <w:tc>
          <w:tcPr>
            <w:tcW w:type="dxa" w:w="3636"/>
            <w:vAlign w:val="top"/>
            <w:shd w:fill="F3F6FA"/>
          </w:tcPr>
          <w:p>
            <w:pPr>
              <w:spacing w:after="0" w:line="240" w:lineRule="auto"/>
            </w:pPr>
            <w:r>
              <w:rPr>
                <w:rFonts w:ascii="Arial" w:hAnsi="Arial"/>
                <w:sz w:val="14"/>
              </w:rPr>
              <w:t>G2 Walk exit · Q1 FY2020</w:t>
            </w:r>
          </w:p>
        </w:tc>
        <w:tc>
          <w:tcPr>
            <w:tcW w:type="dxa" w:w="3636"/>
            <w:vAlign w:val="top"/>
            <w:shd w:fill="F3F6FA"/>
          </w:tcPr>
          <w:p>
            <w:pPr>
              <w:spacing w:after="0" w:line="240" w:lineRule="auto"/>
            </w:pPr>
            <w:r>
              <w:rPr>
                <w:rFonts w:ascii="Arial" w:hAnsi="Arial"/>
                <w:sz w:val="14"/>
              </w:rPr>
              <w:t>(a) Owned stack carries paid demand at scale. (b) Demand on pace for the FY2024 target. (c) DTC P&amp;L absorbs launch losses.</w:t>
            </w:r>
          </w:p>
        </w:tc>
        <w:tc>
          <w:tcPr>
            <w:tcW w:type="dxa" w:w="3636"/>
            <w:vAlign w:val="top"/>
            <w:shd w:fill="F3F6FA"/>
          </w:tcPr>
          <w:p>
            <w:pPr>
              <w:spacing w:after="0" w:line="240" w:lineRule="auto"/>
            </w:pPr>
            <w:r>
              <w:rPr>
                <w:rFonts w:ascii="Arial" w:hAnsi="Arial"/>
                <w:sz w:val="14"/>
              </w:rPr>
              <w:t>(a) ESPN+ grew from 1.4M (Dec 2018) to 6.6M (Dec 2019) paid; Disney+ reached 26.5M paid, but had log-in errors on launch day, which Disney attributed to demand that "exceeded our highest expectations". (b) 44% of the 60M low-end target in seven weeks. (c) A $(693)M DTCI loss carried in the segment.</w:t>
            </w:r>
          </w:p>
        </w:tc>
        <w:tc>
          <w:tcPr>
            <w:tcW w:type="dxa" w:w="3636"/>
            <w:vAlign w:val="top"/>
            <w:shd w:fill="F3F6FA"/>
          </w:tcPr>
          <w:p>
            <w:pPr>
              <w:spacing w:after="0" w:line="240" w:lineRule="auto"/>
            </w:pPr>
            <w:r>
              <w:rPr>
                <w:rFonts w:ascii="Arial" w:hAnsi="Arial"/>
                <w:sz w:val="14"/>
              </w:rPr>
              <w:t>Pass, with one amber: platform capacity at peak load (a)</w:t>
            </w:r>
          </w:p>
        </w:tc>
      </w:tr>
      <w:tr>
        <w:tc>
          <w:tcPr>
            <w:tcW w:type="dxa" w:w="3636"/>
            <w:vAlign w:val="top"/>
          </w:tcPr>
          <w:p>
            <w:pPr>
              <w:spacing w:after="0" w:line="240" w:lineRule="auto"/>
            </w:pPr>
            <w:r>
              <w:rPr>
                <w:rFonts w:ascii="Arial" w:hAnsi="Arial"/>
                <w:sz w:val="14"/>
              </w:rPr>
              <w:t>G3 Portfolio scale · Q4 FY2020</w:t>
            </w:r>
          </w:p>
        </w:tc>
        <w:tc>
          <w:tcPr>
            <w:tcW w:type="dxa" w:w="3636"/>
            <w:vAlign w:val="top"/>
          </w:tcPr>
          <w:p>
            <w:pPr>
              <w:spacing w:after="0" w:line="240" w:lineRule="auto"/>
            </w:pPr>
            <w:r>
              <w:rPr>
                <w:rFonts w:ascii="Arial" w:hAnsi="Arial"/>
                <w:sz w:val="14"/>
              </w:rPr>
              <w:t>Three-service portfolio at scale before restructuring the enterprise</w:t>
            </w:r>
          </w:p>
        </w:tc>
        <w:tc>
          <w:tcPr>
            <w:tcW w:type="dxa" w:w="3636"/>
            <w:vAlign w:val="top"/>
          </w:tcPr>
          <w:p>
            <w:pPr>
              <w:spacing w:after="0" w:line="240" w:lineRule="auto"/>
            </w:pPr>
            <w:r>
              <w:rPr>
                <w:rFonts w:ascii="Arial" w:hAnsi="Arial"/>
                <w:sz w:val="14"/>
              </w:rPr>
              <w:t>&gt;100M paid subscriptions (Aug 4, 2020), then I7 (Oct 12, 2020)</w:t>
            </w:r>
          </w:p>
        </w:tc>
        <w:tc>
          <w:tcPr>
            <w:tcW w:type="dxa" w:w="3636"/>
            <w:vAlign w:val="top"/>
          </w:tcPr>
          <w:p>
            <w:pPr>
              <w:spacing w:after="0" w:line="240" w:lineRule="auto"/>
            </w:pPr>
            <w:r>
              <w:rPr>
                <w:rFonts w:ascii="Arial" w:hAnsi="Arial"/>
                <w:sz w:val="14"/>
              </w:rPr>
              <w:t>Pass</w:t>
            </w:r>
          </w:p>
        </w:tc>
      </w:tr>
    </w:tbl>
    <w:p>
      <w:pPr>
        <w:spacing w:after="40"/>
      </w:pPr>
    </w:p>
    <w:p>
      <w:pPr>
        <w:pStyle w:val="Heading1"/>
        <w:spacing w:after="60"/>
      </w:pPr>
      <w:r>
        <w:rPr>
          <w:rFonts w:ascii="Arial" w:hAnsi="Arial"/>
        </w:rPr>
        <w:t>Appendix B. Sequencing challenges, stated at full strength</w:t>
      </w:r>
    </w:p>
    <w:tbl>
      <w:tblPr>
        <w:tblW w:type="auto" w:w="0"/>
        <w:jc w:val="center"/>
        <w:tblLayout w:type="autofit"/>
        <w:tblLook w:firstColumn="1" w:firstRow="1" w:lastColumn="0" w:lastRow="0" w:noHBand="0" w:noVBand="1" w:val="04A0"/>
      </w:tblPr>
      <w:tblGrid>
        <w:gridCol w:w="7272"/>
        <w:gridCol w:w="7272"/>
      </w:tblGrid>
      <w:tr>
        <w:trPr>
          <w:tblHeader w:val="true"/>
        </w:trPr>
        <w:tc>
          <w:tcPr>
            <w:tcW w:type="dxa" w:w="7272"/>
            <w:vAlign w:val="top"/>
            <w:shd w:fill="173B6D"/>
          </w:tcPr>
          <w:p>
            <w:pPr>
              <w:spacing w:after="0" w:line="240" w:lineRule="auto"/>
            </w:pPr>
            <w:r>
              <w:rPr>
                <w:rFonts w:ascii="Arial" w:hAnsi="Arial"/>
                <w:b/>
                <w:color w:val="FFFFFF"/>
                <w:sz w:val="14"/>
              </w:rPr>
              <w:t>Challenge</w:t>
            </w:r>
          </w:p>
        </w:tc>
        <w:tc>
          <w:tcPr>
            <w:tcW w:type="dxa" w:w="7272"/>
            <w:vAlign w:val="top"/>
            <w:shd w:fill="173B6D"/>
          </w:tcPr>
          <w:p>
            <w:pPr>
              <w:spacing w:after="0" w:line="240" w:lineRule="auto"/>
            </w:pPr>
            <w:r>
              <w:rPr>
                <w:rFonts w:ascii="Arial" w:hAnsi="Arial"/>
                <w:b/>
                <w:color w:val="FFFFFF"/>
                <w:sz w:val="14"/>
              </w:rPr>
              <w:t>Answer</w:t>
            </w:r>
          </w:p>
        </w:tc>
      </w:tr>
      <w:tr>
        <w:tc>
          <w:tcPr>
            <w:tcW w:type="dxa" w:w="7272"/>
            <w:vAlign w:val="top"/>
          </w:tcPr>
          <w:p>
            <w:pPr>
              <w:spacing w:after="0" w:line="240" w:lineRule="auto"/>
            </w:pPr>
            <w:r>
              <w:rPr>
                <w:rFonts w:ascii="Arial" w:hAnsi="Arial"/>
                <w:sz w:val="14"/>
              </w:rPr>
              <w:t>"Walk did not gate Run." At Investor Day (Apr 11, 2019), Disney announced a staggered rollout across Europe, Asia-Pacific and Latin America over the coming two years, seven months before Disney+ existed.</w:t>
            </w:r>
          </w:p>
        </w:tc>
        <w:tc>
          <w:tcPr>
            <w:tcW w:type="dxa" w:w="7272"/>
            <w:vAlign w:val="top"/>
          </w:tcPr>
          <w:p>
            <w:pPr>
              <w:spacing w:after="0" w:line="240" w:lineRule="auto"/>
            </w:pPr>
            <w:r>
              <w:rPr>
                <w:rFonts w:ascii="Arial" w:hAnsi="Arial"/>
                <w:sz w:val="14"/>
              </w:rPr>
              <w:t>Partly conceded. The intent came before the evidence. The roadmap claims dependency, not that Disney deliberated after each signal. But the irreversible commitments, the market launches, followed the signal. The only change to the European date before COVID was an acceleration, from Mar 31 to Mar 24, announced Jan 21, 2020. That came after 26.5M paid subscribers at quarter end. A plan is an option; a launch is the exercise. The window was short (133 days from I5 to I6), which is why G2 is amber, not green.</w:t>
            </w:r>
          </w:p>
        </w:tc>
      </w:tr>
      <w:tr>
        <w:tc>
          <w:tcPr>
            <w:tcW w:type="dxa" w:w="7272"/>
            <w:vAlign w:val="top"/>
            <w:shd w:fill="F3F6FA"/>
          </w:tcPr>
          <w:p>
            <w:pPr>
              <w:spacing w:after="0" w:line="240" w:lineRule="auto"/>
            </w:pPr>
            <w:r>
              <w:rPr>
                <w:rFonts w:ascii="Arial" w:hAnsi="Arial"/>
                <w:sz w:val="14"/>
              </w:rPr>
              <w:t>"COVID did the work." Lockdowns from March 2020 inflated streaming demand.</w:t>
            </w:r>
          </w:p>
        </w:tc>
        <w:tc>
          <w:tcPr>
            <w:tcW w:type="dxa" w:w="7272"/>
            <w:vAlign w:val="top"/>
            <w:shd w:fill="F3F6FA"/>
          </w:tcPr>
          <w:p>
            <w:pPr>
              <w:spacing w:after="0" w:line="240" w:lineRule="auto"/>
            </w:pPr>
            <w:r>
              <w:rPr>
                <w:rFonts w:ascii="Arial" w:hAnsi="Arial"/>
                <w:sz w:val="14"/>
              </w:rPr>
              <w:t>Agreed for outcomes, not for sequencing. The Walk evidence (Dec 28, 2019) and the decision to accelerate Europe (Jan 21, 2020) both predate the lockdowns. COVID also delayed the rollout: India slipped from Mar 29 to Apr 3 when the IPL was postponed, and France moved to Apr 7. I6's 74M outcome is therefore never used as evidence for the sequence.</w:t>
            </w:r>
          </w:p>
        </w:tc>
      </w:tr>
      <w:tr>
        <w:tc>
          <w:tcPr>
            <w:tcW w:type="dxa" w:w="7272"/>
            <w:vAlign w:val="top"/>
          </w:tcPr>
          <w:p>
            <w:pPr>
              <w:spacing w:after="0" w:line="240" w:lineRule="auto"/>
            </w:pPr>
            <w:r>
              <w:rPr>
                <w:rFonts w:ascii="Arial" w:hAnsi="Arial"/>
                <w:sz w:val="14"/>
              </w:rPr>
              <w:t>"The platform was not proven. Disney+ had errors on day one."</w:t>
            </w:r>
          </w:p>
        </w:tc>
        <w:tc>
          <w:tcPr>
            <w:tcW w:type="dxa" w:w="7272"/>
            <w:vAlign w:val="top"/>
          </w:tcPr>
          <w:p>
            <w:pPr>
              <w:spacing w:after="0" w:line="240" w:lineRule="auto"/>
            </w:pPr>
            <w:r>
              <w:rPr>
                <w:rFonts w:ascii="Arial" w:hAnsi="Arial"/>
                <w:sz w:val="14"/>
              </w:rPr>
              <w:t>Conceded as amber, not a fail. The errors were log-in capacity under peak demand. The subscription and streaming stack itself had carried paid ESPN+ subscribers for 19 months. Surfacing this kind of issue in five markets, before twenty more, is what a Walk phase is for.</w:t>
            </w:r>
          </w:p>
        </w:tc>
      </w:tr>
      <w:tr>
        <w:tc>
          <w:tcPr>
            <w:tcW w:type="dxa" w:w="7272"/>
            <w:vAlign w:val="top"/>
            <w:shd w:fill="F3F6FA"/>
          </w:tcPr>
          <w:p>
            <w:pPr>
              <w:spacing w:after="0" w:line="240" w:lineRule="auto"/>
            </w:pPr>
            <w:r>
              <w:rPr>
                <w:rFonts w:ascii="Arial" w:hAnsi="Arial"/>
                <w:sz w:val="14"/>
              </w:rPr>
              <w:t>"Hulu's growth was not caused by Disney's control."</w:t>
            </w:r>
          </w:p>
        </w:tc>
        <w:tc>
          <w:tcPr>
            <w:tcW w:type="dxa" w:w="7272"/>
            <w:vAlign w:val="top"/>
            <w:shd w:fill="F3F6FA"/>
          </w:tcPr>
          <w:p>
            <w:pPr>
              <w:spacing w:after="0" w:line="240" w:lineRule="auto"/>
            </w:pPr>
            <w:r>
              <w:rPr>
                <w:rFonts w:ascii="Arial" w:hAnsi="Arial"/>
                <w:sz w:val="14"/>
              </w:rPr>
              <w:t>Agreed. We do not claim control caused Hulu's growth. I4's signal is Hulu's scale in the first quarter it was sold inside a three-service bundle, a product that only a single owner of all three services could create.</w:t>
            </w:r>
          </w:p>
        </w:tc>
      </w:tr>
    </w:tbl>
    <w:p>
      <w:pPr>
        <w:spacing w:after="40"/>
      </w:pPr>
    </w:p>
    <w:p>
      <w:pPr>
        <w:spacing w:after="60"/>
      </w:pPr>
      <w:r>
        <w:rPr>
          <w:rFonts w:ascii="Arial" w:hAnsi="Arial"/>
        </w:rPr>
        <w:t>DELIVERABLE 2 · GOVERNANCE RACI</w:t>
      </w:r>
    </w:p>
    <w:p>
      <w:pPr>
        <w:spacing w:after="60"/>
      </w:pPr>
      <w:r>
        <w:rPr>
          <w:rFonts w:ascii="Arial" w:hAnsi="Arial"/>
        </w:rPr>
        <w:t>Seven recurring governance decisions · exactly one Accountable per row</w:t>
      </w:r>
    </w:p>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top"/>
            <w:shd w:fill="173B6D"/>
          </w:tcPr>
          <w:p>
            <w:pPr>
              <w:spacing w:after="0" w:line="240" w:lineRule="auto"/>
            </w:pPr>
            <w:r>
              <w:rPr>
                <w:rFonts w:ascii="Arial" w:hAnsi="Arial"/>
                <w:b/>
                <w:color w:val="FFFFFF"/>
                <w:sz w:val="14"/>
              </w:rPr>
              <w:t>ID</w:t>
            </w:r>
          </w:p>
        </w:tc>
        <w:tc>
          <w:tcPr>
            <w:tcW w:type="dxa" w:w="2424"/>
            <w:vAlign w:val="top"/>
            <w:shd w:fill="173B6D"/>
          </w:tcPr>
          <w:p>
            <w:pPr>
              <w:spacing w:after="0" w:line="240" w:lineRule="auto"/>
            </w:pPr>
            <w:r>
              <w:rPr>
                <w:rFonts w:ascii="Arial" w:hAnsi="Arial"/>
                <w:b/>
                <w:color w:val="FFFFFF"/>
                <w:sz w:val="14"/>
              </w:rPr>
              <w:t>Recurring governance decision</w:t>
            </w:r>
          </w:p>
        </w:tc>
        <w:tc>
          <w:tcPr>
            <w:tcW w:type="dxa" w:w="2424"/>
            <w:vAlign w:val="top"/>
            <w:shd w:fill="173B6D"/>
          </w:tcPr>
          <w:p>
            <w:pPr>
              <w:spacing w:after="0" w:line="240" w:lineRule="auto"/>
            </w:pPr>
            <w:r>
              <w:rPr>
                <w:rFonts w:ascii="Arial" w:hAnsi="Arial"/>
                <w:b/>
                <w:color w:val="FFFFFF"/>
                <w:sz w:val="14"/>
              </w:rPr>
              <w:t>Responsible</w:t>
            </w:r>
          </w:p>
        </w:tc>
        <w:tc>
          <w:tcPr>
            <w:tcW w:type="dxa" w:w="2424"/>
            <w:vAlign w:val="top"/>
            <w:shd w:fill="173B6D"/>
          </w:tcPr>
          <w:p>
            <w:pPr>
              <w:spacing w:after="0" w:line="240" w:lineRule="auto"/>
            </w:pPr>
            <w:r>
              <w:rPr>
                <w:rFonts w:ascii="Arial" w:hAnsi="Arial"/>
                <w:b/>
                <w:color w:val="FFFFFF"/>
                <w:sz w:val="14"/>
              </w:rPr>
              <w:t>Accountable</w:t>
            </w:r>
          </w:p>
        </w:tc>
        <w:tc>
          <w:tcPr>
            <w:tcW w:type="dxa" w:w="2424"/>
            <w:vAlign w:val="top"/>
            <w:shd w:fill="173B6D"/>
          </w:tcPr>
          <w:p>
            <w:pPr>
              <w:spacing w:after="0" w:line="240" w:lineRule="auto"/>
            </w:pPr>
            <w:r>
              <w:rPr>
                <w:rFonts w:ascii="Arial" w:hAnsi="Arial"/>
                <w:b/>
                <w:color w:val="FFFFFF"/>
                <w:sz w:val="14"/>
              </w:rPr>
              <w:t>Consulted</w:t>
            </w:r>
          </w:p>
        </w:tc>
        <w:tc>
          <w:tcPr>
            <w:tcW w:type="dxa" w:w="2424"/>
            <w:vAlign w:val="top"/>
            <w:shd w:fill="173B6D"/>
          </w:tcPr>
          <w:p>
            <w:pPr>
              <w:spacing w:after="0" w:line="240" w:lineRule="auto"/>
            </w:pPr>
            <w:r>
              <w:rPr>
                <w:rFonts w:ascii="Arial" w:hAnsi="Arial"/>
                <w:b/>
                <w:color w:val="FFFFFF"/>
                <w:sz w:val="14"/>
              </w:rPr>
              <w:t>Informed</w:t>
            </w:r>
          </w:p>
        </w:tc>
      </w:tr>
      <w:tr>
        <w:tc>
          <w:tcPr>
            <w:tcW w:type="dxa" w:w="2424"/>
            <w:vAlign w:val="top"/>
          </w:tcPr>
          <w:p>
            <w:pPr>
              <w:spacing w:after="0" w:line="240" w:lineRule="auto"/>
            </w:pPr>
            <w:r>
              <w:rPr>
                <w:rFonts w:ascii="Arial" w:hAnsi="Arial"/>
                <w:sz w:val="14"/>
              </w:rPr>
              <w:t>D1</w:t>
            </w:r>
          </w:p>
        </w:tc>
        <w:tc>
          <w:tcPr>
            <w:tcW w:type="dxa" w:w="2424"/>
            <w:vAlign w:val="top"/>
          </w:tcPr>
          <w:p>
            <w:pPr>
              <w:spacing w:after="0" w:line="240" w:lineRule="auto"/>
            </w:pPr>
            <w:r>
              <w:rPr>
                <w:rFonts w:ascii="Arial" w:hAnsi="Arial"/>
                <w:sz w:val="14"/>
              </w:rPr>
              <w:t>Transformation Budget Allocation</w:t>
            </w:r>
          </w:p>
        </w:tc>
        <w:tc>
          <w:tcPr>
            <w:tcW w:type="dxa" w:w="2424"/>
            <w:vAlign w:val="top"/>
          </w:tcPr>
          <w:p>
            <w:pPr>
              <w:spacing w:after="0" w:line="240" w:lineRule="auto"/>
            </w:pPr>
            <w:r>
              <w:rPr>
                <w:rFonts w:ascii="Arial" w:hAnsi="Arial"/>
                <w:sz w:val="14"/>
              </w:rPr>
              <w:t>DTCI Finance; Corporate Strategy; Streaming Service CFOs</w:t>
            </w:r>
          </w:p>
        </w:tc>
        <w:tc>
          <w:tcPr>
            <w:tcW w:type="dxa" w:w="2424"/>
            <w:vAlign w:val="top"/>
          </w:tcPr>
          <w:p>
            <w:pPr>
              <w:spacing w:after="0" w:line="240" w:lineRule="auto"/>
            </w:pPr>
            <w:r>
              <w:rPr>
                <w:rFonts w:ascii="Arial" w:hAnsi="Arial"/>
                <w:sz w:val="14"/>
              </w:rPr>
              <w:t>Disney Chief Financial Officer</w:t>
            </w:r>
          </w:p>
        </w:tc>
        <w:tc>
          <w:tcPr>
            <w:tcW w:type="dxa" w:w="2424"/>
            <w:vAlign w:val="top"/>
          </w:tcPr>
          <w:p>
            <w:pPr>
              <w:spacing w:after="0" w:line="240" w:lineRule="auto"/>
            </w:pPr>
            <w:r>
              <w:rPr>
                <w:rFonts w:ascii="Arial" w:hAnsi="Arial"/>
                <w:sz w:val="14"/>
              </w:rPr>
              <w:t>Chairman of DTCI; Presidents of ESPN, Hulu &amp; Disney Streaming Services; Business Unit Content Leaders</w:t>
            </w:r>
          </w:p>
        </w:tc>
        <w:tc>
          <w:tcPr>
            <w:tcW w:type="dxa" w:w="2424"/>
            <w:vAlign w:val="top"/>
          </w:tcPr>
          <w:p>
            <w:pPr>
              <w:spacing w:after="0" w:line="240" w:lineRule="auto"/>
            </w:pPr>
            <w:r>
              <w:rPr>
                <w:rFonts w:ascii="Arial" w:hAnsi="Arial"/>
                <w:sz w:val="14"/>
              </w:rPr>
              <w:t>CEO; Board; Regional DTC Management</w:t>
            </w:r>
          </w:p>
        </w:tc>
      </w:tr>
      <w:tr>
        <w:tc>
          <w:tcPr>
            <w:tcW w:type="dxa" w:w="2424"/>
            <w:vAlign w:val="top"/>
            <w:shd w:fill="F3F6FA"/>
          </w:tcPr>
          <w:p>
            <w:pPr>
              <w:spacing w:after="0" w:line="240" w:lineRule="auto"/>
            </w:pPr>
            <w:r>
              <w:rPr>
                <w:rFonts w:ascii="Arial" w:hAnsi="Arial"/>
                <w:sz w:val="14"/>
              </w:rPr>
              <w:t>D2</w:t>
            </w:r>
          </w:p>
        </w:tc>
        <w:tc>
          <w:tcPr>
            <w:tcW w:type="dxa" w:w="2424"/>
            <w:vAlign w:val="top"/>
            <w:shd w:fill="F3F6FA"/>
          </w:tcPr>
          <w:p>
            <w:pPr>
              <w:spacing w:after="0" w:line="240" w:lineRule="auto"/>
            </w:pPr>
            <w:r>
              <w:rPr>
                <w:rFonts w:ascii="Arial" w:hAnsi="Arial"/>
                <w:sz w:val="14"/>
              </w:rPr>
              <w:t>Shared-Platform Architecture Standards</w:t>
            </w:r>
          </w:p>
        </w:tc>
        <w:tc>
          <w:tcPr>
            <w:tcW w:type="dxa" w:w="2424"/>
            <w:vAlign w:val="top"/>
            <w:shd w:fill="F3F6FA"/>
          </w:tcPr>
          <w:p>
            <w:pPr>
              <w:spacing w:after="0" w:line="240" w:lineRule="auto"/>
            </w:pPr>
            <w:r>
              <w:rPr>
                <w:rFonts w:ascii="Arial" w:hAnsi="Arial"/>
                <w:sz w:val="14"/>
              </w:rPr>
              <w:t>CTO, Disney Streaming Services; Enterprise Architecture; Disney Streaming Services Engineering</w:t>
            </w:r>
          </w:p>
        </w:tc>
        <w:tc>
          <w:tcPr>
            <w:tcW w:type="dxa" w:w="2424"/>
            <w:vAlign w:val="top"/>
            <w:shd w:fill="F3F6FA"/>
          </w:tcPr>
          <w:p>
            <w:pPr>
              <w:spacing w:after="0" w:line="240" w:lineRule="auto"/>
            </w:pPr>
            <w:r>
              <w:rPr>
                <w:rFonts w:ascii="Arial" w:hAnsi="Arial"/>
                <w:sz w:val="14"/>
              </w:rPr>
              <w:t>President of Disney Streaming Services</w:t>
            </w:r>
          </w:p>
        </w:tc>
        <w:tc>
          <w:tcPr>
            <w:tcW w:type="dxa" w:w="2424"/>
            <w:vAlign w:val="top"/>
            <w:shd w:fill="F3F6FA"/>
          </w:tcPr>
          <w:p>
            <w:pPr>
              <w:spacing w:after="0" w:line="240" w:lineRule="auto"/>
            </w:pPr>
            <w:r>
              <w:rPr>
                <w:rFonts w:ascii="Arial" w:hAnsi="Arial"/>
                <w:sz w:val="14"/>
              </w:rPr>
              <w:t>Chairman of DTCI; Disney+ Product Lead; ESPN President; Hulu President; Global Information Security VP</w:t>
            </w:r>
          </w:p>
        </w:tc>
        <w:tc>
          <w:tcPr>
            <w:tcW w:type="dxa" w:w="2424"/>
            <w:vAlign w:val="top"/>
            <w:shd w:fill="F3F6FA"/>
          </w:tcPr>
          <w:p>
            <w:pPr>
              <w:spacing w:after="0" w:line="240" w:lineRule="auto"/>
            </w:pPr>
            <w:r>
              <w:rPr>
                <w:rFonts w:ascii="Arial" w:hAnsi="Arial"/>
                <w:sz w:val="14"/>
              </w:rPr>
              <w:t>CFO; Regional Technology Leaders; Business Unit Content Leadership</w:t>
            </w:r>
          </w:p>
        </w:tc>
      </w:tr>
      <w:tr>
        <w:tc>
          <w:tcPr>
            <w:tcW w:type="dxa" w:w="2424"/>
            <w:vAlign w:val="top"/>
          </w:tcPr>
          <w:p>
            <w:pPr>
              <w:spacing w:after="0" w:line="240" w:lineRule="auto"/>
            </w:pPr>
            <w:r>
              <w:rPr>
                <w:rFonts w:ascii="Arial" w:hAnsi="Arial"/>
                <w:sz w:val="14"/>
              </w:rPr>
              <w:t>D3</w:t>
            </w:r>
          </w:p>
        </w:tc>
        <w:tc>
          <w:tcPr>
            <w:tcW w:type="dxa" w:w="2424"/>
            <w:vAlign w:val="top"/>
          </w:tcPr>
          <w:p>
            <w:pPr>
              <w:spacing w:after="0" w:line="240" w:lineRule="auto"/>
            </w:pPr>
            <w:r>
              <w:rPr>
                <w:rFonts w:ascii="Arial" w:hAnsi="Arial"/>
                <w:sz w:val="14"/>
              </w:rPr>
              <w:t>Enterprise Data Governance</w:t>
            </w:r>
          </w:p>
        </w:tc>
        <w:tc>
          <w:tcPr>
            <w:tcW w:type="dxa" w:w="2424"/>
            <w:vAlign w:val="top"/>
          </w:tcPr>
          <w:p>
            <w:pPr>
              <w:spacing w:after="0" w:line="240" w:lineRule="auto"/>
            </w:pPr>
            <w:r>
              <w:rPr>
                <w:rFonts w:ascii="Arial" w:hAnsi="Arial"/>
                <w:sz w:val="14"/>
              </w:rPr>
              <w:t>Data Governance Board; Global Information Security Teams</w:t>
            </w:r>
          </w:p>
        </w:tc>
        <w:tc>
          <w:tcPr>
            <w:tcW w:type="dxa" w:w="2424"/>
            <w:vAlign w:val="top"/>
          </w:tcPr>
          <w:p>
            <w:pPr>
              <w:spacing w:after="0" w:line="240" w:lineRule="auto"/>
            </w:pPr>
            <w:r>
              <w:rPr>
                <w:rFonts w:ascii="Arial" w:hAnsi="Arial"/>
                <w:sz w:val="14"/>
              </w:rPr>
              <w:t>Chief Data Officer</w:t>
            </w:r>
          </w:p>
        </w:tc>
        <w:tc>
          <w:tcPr>
            <w:tcW w:type="dxa" w:w="2424"/>
            <w:vAlign w:val="top"/>
          </w:tcPr>
          <w:p>
            <w:pPr>
              <w:spacing w:after="0" w:line="240" w:lineRule="auto"/>
            </w:pPr>
            <w:r>
              <w:rPr>
                <w:rFonts w:ascii="Arial" w:hAnsi="Arial"/>
                <w:sz w:val="14"/>
              </w:rPr>
              <w:t>CTO, Disney Streaming Services; President of Disney Streaming Services; Streaming Data Leadership</w:t>
            </w:r>
          </w:p>
        </w:tc>
        <w:tc>
          <w:tcPr>
            <w:tcW w:type="dxa" w:w="2424"/>
            <w:vAlign w:val="top"/>
          </w:tcPr>
          <w:p>
            <w:pPr>
              <w:spacing w:after="0" w:line="240" w:lineRule="auto"/>
            </w:pPr>
            <w:r>
              <w:rPr>
                <w:rFonts w:ascii="Arial" w:hAnsi="Arial"/>
                <w:sz w:val="14"/>
              </w:rPr>
              <w:t>Chairman of DTCI; Marketing and Product Teams</w:t>
            </w:r>
          </w:p>
        </w:tc>
      </w:tr>
      <w:tr>
        <w:tc>
          <w:tcPr>
            <w:tcW w:type="dxa" w:w="2424"/>
            <w:vAlign w:val="top"/>
            <w:shd w:fill="F3F6FA"/>
          </w:tcPr>
          <w:p>
            <w:pPr>
              <w:spacing w:after="0" w:line="240" w:lineRule="auto"/>
            </w:pPr>
            <w:r>
              <w:rPr>
                <w:rFonts w:ascii="Arial" w:hAnsi="Arial"/>
                <w:sz w:val="14"/>
              </w:rPr>
              <w:t>D4</w:t>
            </w:r>
          </w:p>
        </w:tc>
        <w:tc>
          <w:tcPr>
            <w:tcW w:type="dxa" w:w="2424"/>
            <w:vAlign w:val="top"/>
            <w:shd w:fill="F3F6FA"/>
          </w:tcPr>
          <w:p>
            <w:pPr>
              <w:spacing w:after="0" w:line="240" w:lineRule="auto"/>
            </w:pPr>
            <w:r>
              <w:rPr>
                <w:rFonts w:ascii="Arial" w:hAnsi="Arial"/>
                <w:sz w:val="14"/>
              </w:rPr>
              <w:t>Portfolio &amp; Initiative Prioritization</w:t>
            </w:r>
          </w:p>
        </w:tc>
        <w:tc>
          <w:tcPr>
            <w:tcW w:type="dxa" w:w="2424"/>
            <w:vAlign w:val="top"/>
            <w:shd w:fill="F3F6FA"/>
          </w:tcPr>
          <w:p>
            <w:pPr>
              <w:spacing w:after="0" w:line="240" w:lineRule="auto"/>
            </w:pPr>
            <w:r>
              <w:rPr>
                <w:rFonts w:ascii="Arial" w:hAnsi="Arial"/>
                <w:sz w:val="14"/>
              </w:rPr>
              <w:t>DTC Portfolio Management Office; Product and Technology Leadership</w:t>
            </w:r>
          </w:p>
        </w:tc>
        <w:tc>
          <w:tcPr>
            <w:tcW w:type="dxa" w:w="2424"/>
            <w:vAlign w:val="top"/>
            <w:shd w:fill="F3F6FA"/>
          </w:tcPr>
          <w:p>
            <w:pPr>
              <w:spacing w:after="0" w:line="240" w:lineRule="auto"/>
            </w:pPr>
            <w:r>
              <w:rPr>
                <w:rFonts w:ascii="Arial" w:hAnsi="Arial"/>
                <w:sz w:val="14"/>
              </w:rPr>
              <w:t>Chairman of DTCI</w:t>
            </w:r>
          </w:p>
        </w:tc>
        <w:tc>
          <w:tcPr>
            <w:tcW w:type="dxa" w:w="2424"/>
            <w:vAlign w:val="top"/>
            <w:shd w:fill="F3F6FA"/>
          </w:tcPr>
          <w:p>
            <w:pPr>
              <w:spacing w:after="0" w:line="240" w:lineRule="auto"/>
            </w:pPr>
            <w:r>
              <w:rPr>
                <w:rFonts w:ascii="Arial" w:hAnsi="Arial"/>
                <w:sz w:val="14"/>
              </w:rPr>
              <w:t>CFO; President of Disney Streaming Services; Regional DTC Leaders</w:t>
            </w:r>
          </w:p>
        </w:tc>
        <w:tc>
          <w:tcPr>
            <w:tcW w:type="dxa" w:w="2424"/>
            <w:vAlign w:val="top"/>
            <w:shd w:fill="F3F6FA"/>
          </w:tcPr>
          <w:p>
            <w:pPr>
              <w:spacing w:after="0" w:line="240" w:lineRule="auto"/>
            </w:pPr>
            <w:r>
              <w:rPr>
                <w:rFonts w:ascii="Arial" w:hAnsi="Arial"/>
                <w:sz w:val="14"/>
              </w:rPr>
              <w:t>CEO; Initiative Sponsors; PM Delivery Teams</w:t>
            </w:r>
          </w:p>
        </w:tc>
      </w:tr>
      <w:tr>
        <w:tc>
          <w:tcPr>
            <w:tcW w:type="dxa" w:w="2424"/>
            <w:vAlign w:val="top"/>
          </w:tcPr>
          <w:p>
            <w:pPr>
              <w:spacing w:after="0" w:line="240" w:lineRule="auto"/>
            </w:pPr>
            <w:r>
              <w:rPr>
                <w:rFonts w:ascii="Arial" w:hAnsi="Arial"/>
                <w:sz w:val="14"/>
              </w:rPr>
              <w:t>D5</w:t>
            </w:r>
          </w:p>
        </w:tc>
        <w:tc>
          <w:tcPr>
            <w:tcW w:type="dxa" w:w="2424"/>
            <w:vAlign w:val="top"/>
          </w:tcPr>
          <w:p>
            <w:pPr>
              <w:spacing w:after="0" w:line="240" w:lineRule="auto"/>
            </w:pPr>
            <w:r>
              <w:rPr>
                <w:rFonts w:ascii="Arial" w:hAnsi="Arial"/>
                <w:sz w:val="14"/>
              </w:rPr>
              <w:t>Vendor &amp; Partnership Governance</w:t>
            </w:r>
          </w:p>
        </w:tc>
        <w:tc>
          <w:tcPr>
            <w:tcW w:type="dxa" w:w="2424"/>
            <w:vAlign w:val="top"/>
          </w:tcPr>
          <w:p>
            <w:pPr>
              <w:spacing w:after="0" w:line="240" w:lineRule="auto"/>
            </w:pPr>
            <w:r>
              <w:rPr>
                <w:rFonts w:ascii="Arial" w:hAnsi="Arial"/>
                <w:sz w:val="14"/>
              </w:rPr>
              <w:t>Strategic Partnerships; Corporate Development; Procurement; Legal</w:t>
            </w:r>
          </w:p>
        </w:tc>
        <w:tc>
          <w:tcPr>
            <w:tcW w:type="dxa" w:w="2424"/>
            <w:vAlign w:val="top"/>
          </w:tcPr>
          <w:p>
            <w:pPr>
              <w:spacing w:after="0" w:line="240" w:lineRule="auto"/>
            </w:pPr>
            <w:r>
              <w:rPr>
                <w:rFonts w:ascii="Arial" w:hAnsi="Arial"/>
                <w:sz w:val="14"/>
              </w:rPr>
              <w:t>Chairman of DTCI</w:t>
            </w:r>
          </w:p>
        </w:tc>
        <w:tc>
          <w:tcPr>
            <w:tcW w:type="dxa" w:w="2424"/>
            <w:vAlign w:val="top"/>
          </w:tcPr>
          <w:p>
            <w:pPr>
              <w:spacing w:after="0" w:line="240" w:lineRule="auto"/>
            </w:pPr>
            <w:r>
              <w:rPr>
                <w:rFonts w:ascii="Arial" w:hAnsi="Arial"/>
                <w:sz w:val="14"/>
              </w:rPr>
              <w:t>CFO; General Counsel; CTO, Disney Streaming Services; President of Disney Streaming Services; Regional DTC Leadership</w:t>
            </w:r>
          </w:p>
        </w:tc>
        <w:tc>
          <w:tcPr>
            <w:tcW w:type="dxa" w:w="2424"/>
            <w:vAlign w:val="top"/>
          </w:tcPr>
          <w:p>
            <w:pPr>
              <w:spacing w:after="0" w:line="240" w:lineRule="auto"/>
            </w:pPr>
            <w:r>
              <w:rPr>
                <w:rFonts w:ascii="Arial" w:hAnsi="Arial"/>
                <w:sz w:val="14"/>
              </w:rPr>
              <w:t>CEO; Business Unit Presidents; Finance and Platform Teams</w:t>
            </w:r>
          </w:p>
        </w:tc>
      </w:tr>
      <w:tr>
        <w:tc>
          <w:tcPr>
            <w:tcW w:type="dxa" w:w="2424"/>
            <w:vAlign w:val="top"/>
            <w:shd w:fill="F3F6FA"/>
          </w:tcPr>
          <w:p>
            <w:pPr>
              <w:spacing w:after="0" w:line="240" w:lineRule="auto"/>
            </w:pPr>
            <w:r>
              <w:rPr>
                <w:rFonts w:ascii="Arial" w:hAnsi="Arial"/>
                <w:sz w:val="14"/>
              </w:rPr>
              <w:t>D6</w:t>
            </w:r>
          </w:p>
        </w:tc>
        <w:tc>
          <w:tcPr>
            <w:tcW w:type="dxa" w:w="2424"/>
            <w:vAlign w:val="top"/>
            <w:shd w:fill="F3F6FA"/>
          </w:tcPr>
          <w:p>
            <w:pPr>
              <w:spacing w:after="0" w:line="240" w:lineRule="auto"/>
            </w:pPr>
            <w:r>
              <w:rPr>
                <w:rFonts w:ascii="Arial" w:hAnsi="Arial"/>
                <w:sz w:val="14"/>
              </w:rPr>
              <w:t>Streaming Content &amp; Brand Allocation</w:t>
            </w:r>
          </w:p>
        </w:tc>
        <w:tc>
          <w:tcPr>
            <w:tcW w:type="dxa" w:w="2424"/>
            <w:vAlign w:val="top"/>
            <w:shd w:fill="F3F6FA"/>
          </w:tcPr>
          <w:p>
            <w:pPr>
              <w:spacing w:after="0" w:line="240" w:lineRule="auto"/>
            </w:pPr>
            <w:r>
              <w:rPr>
                <w:rFonts w:ascii="Arial" w:hAnsi="Arial"/>
                <w:sz w:val="14"/>
              </w:rPr>
              <w:t>Streaming Program Leadership; Studio and Television Content Leadership; Content Strategy Teams</w:t>
            </w:r>
          </w:p>
        </w:tc>
        <w:tc>
          <w:tcPr>
            <w:tcW w:type="dxa" w:w="2424"/>
            <w:vAlign w:val="top"/>
            <w:shd w:fill="F3F6FA"/>
          </w:tcPr>
          <w:p>
            <w:pPr>
              <w:spacing w:after="0" w:line="240" w:lineRule="auto"/>
            </w:pPr>
            <w:r>
              <w:rPr>
                <w:rFonts w:ascii="Arial" w:hAnsi="Arial"/>
                <w:sz w:val="14"/>
              </w:rPr>
              <w:t>Chairman, Media and Entertainment Distribution (DMED)</w:t>
            </w:r>
          </w:p>
        </w:tc>
        <w:tc>
          <w:tcPr>
            <w:tcW w:type="dxa" w:w="2424"/>
            <w:vAlign w:val="top"/>
            <w:shd w:fill="F3F6FA"/>
          </w:tcPr>
          <w:p>
            <w:pPr>
              <w:spacing w:after="0" w:line="240" w:lineRule="auto"/>
            </w:pPr>
            <w:r>
              <w:rPr>
                <w:rFonts w:ascii="Arial" w:hAnsi="Arial"/>
                <w:sz w:val="14"/>
              </w:rPr>
              <w:t>Chairmen of the Studios, General Entertainment and Sports content groups; President of Disney Streaming Services; Regional DTC Leadership</w:t>
            </w:r>
          </w:p>
        </w:tc>
        <w:tc>
          <w:tcPr>
            <w:tcW w:type="dxa" w:w="2424"/>
            <w:vAlign w:val="top"/>
            <w:shd w:fill="F3F6FA"/>
          </w:tcPr>
          <w:p>
            <w:pPr>
              <w:spacing w:after="0" w:line="240" w:lineRule="auto"/>
            </w:pPr>
            <w:r>
              <w:rPr>
                <w:rFonts w:ascii="Arial" w:hAnsi="Arial"/>
                <w:sz w:val="14"/>
              </w:rPr>
              <w:t>CEO; CFO; DTC Marketing, Product and Technology leads</w:t>
            </w:r>
          </w:p>
        </w:tc>
      </w:tr>
      <w:tr>
        <w:tc>
          <w:tcPr>
            <w:tcW w:type="dxa" w:w="2424"/>
            <w:vAlign w:val="top"/>
          </w:tcPr>
          <w:p>
            <w:pPr>
              <w:spacing w:after="0" w:line="240" w:lineRule="auto"/>
            </w:pPr>
            <w:r>
              <w:rPr>
                <w:rFonts w:ascii="Arial" w:hAnsi="Arial"/>
                <w:sz w:val="14"/>
              </w:rPr>
              <w:t>D7</w:t>
            </w:r>
          </w:p>
        </w:tc>
        <w:tc>
          <w:tcPr>
            <w:tcW w:type="dxa" w:w="2424"/>
            <w:vAlign w:val="top"/>
          </w:tcPr>
          <w:p>
            <w:pPr>
              <w:spacing w:after="0" w:line="240" w:lineRule="auto"/>
            </w:pPr>
            <w:r>
              <w:rPr>
                <w:rFonts w:ascii="Arial" w:hAnsi="Arial"/>
                <w:sz w:val="14"/>
              </w:rPr>
              <w:t>Global Market Entry &amp; Service Configuration</w:t>
            </w:r>
          </w:p>
        </w:tc>
        <w:tc>
          <w:tcPr>
            <w:tcW w:type="dxa" w:w="2424"/>
            <w:vAlign w:val="top"/>
          </w:tcPr>
          <w:p>
            <w:pPr>
              <w:spacing w:after="0" w:line="240" w:lineRule="auto"/>
            </w:pPr>
            <w:r>
              <w:rPr>
                <w:rFonts w:ascii="Arial" w:hAnsi="Arial"/>
                <w:sz w:val="14"/>
              </w:rPr>
              <w:t>International Strategy; Regional DTC Leadership; Market Expansion Teams</w:t>
            </w:r>
          </w:p>
        </w:tc>
        <w:tc>
          <w:tcPr>
            <w:tcW w:type="dxa" w:w="2424"/>
            <w:vAlign w:val="top"/>
          </w:tcPr>
          <w:p>
            <w:pPr>
              <w:spacing w:after="0" w:line="240" w:lineRule="auto"/>
            </w:pPr>
            <w:r>
              <w:rPr>
                <w:rFonts w:ascii="Arial" w:hAnsi="Arial"/>
                <w:sz w:val="14"/>
              </w:rPr>
              <w:t>Chairman of DTCI</w:t>
            </w:r>
          </w:p>
        </w:tc>
        <w:tc>
          <w:tcPr>
            <w:tcW w:type="dxa" w:w="2424"/>
            <w:vAlign w:val="top"/>
          </w:tcPr>
          <w:p>
            <w:pPr>
              <w:spacing w:after="0" w:line="240" w:lineRule="auto"/>
            </w:pPr>
            <w:r>
              <w:rPr>
                <w:rFonts w:ascii="Arial" w:hAnsi="Arial"/>
                <w:sz w:val="14"/>
              </w:rPr>
              <w:t>CFO; Content Leaders; Legal &amp; Regulatory Affairs; Global Information Security Leadership</w:t>
            </w:r>
          </w:p>
        </w:tc>
        <w:tc>
          <w:tcPr>
            <w:tcW w:type="dxa" w:w="2424"/>
            <w:vAlign w:val="top"/>
          </w:tcPr>
          <w:p>
            <w:pPr>
              <w:spacing w:after="0" w:line="240" w:lineRule="auto"/>
            </w:pPr>
            <w:r>
              <w:rPr>
                <w:rFonts w:ascii="Arial" w:hAnsi="Arial"/>
                <w:sz w:val="14"/>
              </w:rPr>
              <w:t>CEO; Board; Marketing; Customer Operations</w:t>
            </w:r>
          </w:p>
        </w:tc>
      </w:tr>
    </w:tbl>
    <w:p>
      <w:pPr>
        <w:spacing w:after="40"/>
      </w:pPr>
    </w:p>
    <w:p>
      <w:pPr>
        <w:spacing w:after="60"/>
      </w:pPr>
      <w:r>
        <w:rPr>
          <w:rFonts w:ascii="Arial" w:hAnsi="Arial"/>
        </w:rPr>
        <w:t>ACCOUNTABLE RATIONALE · DECISION-RIGHTS LOGIC</w:t>
      </w:r>
    </w:p>
    <w:p>
      <w:pPr>
        <w:spacing w:after="60"/>
      </w:pPr>
      <w:r>
        <w:rPr>
          <w:rFonts w:ascii="Arial" w:hAnsi="Arial"/>
        </w:rPr>
        <w:t>Target-state governance design derived from the roadmap's decision points, not a historical Disney org chart. Role titles are as of Q3 FY2020 (the QBR quarter), except D6, whose Accountable role is created by I7 (Oct 2020). The Chief Data Officer (D3) is a design role; Disney's FY2018–FY2020 10-K filings do not name one.</w:t>
      </w:r>
    </w:p>
    <w:p>
      <w:pPr>
        <w:spacing w:after="60"/>
      </w:pPr>
      <w:r>
        <w:rPr>
          <w:rFonts w:ascii="Arial" w:hAnsi="Arial"/>
        </w:rPr>
        <w:t>D1 · Transformation Budget Allocation — Disney Chief Financial Officer</w:t>
      </w:r>
    </w:p>
    <w:p>
      <w:pPr>
        <w:spacing w:after="60"/>
      </w:pPr>
      <w:r>
        <w:rPr>
          <w:rFonts w:ascii="Arial" w:hAnsi="Arial"/>
        </w:rPr>
        <w:t>Enterprise capital allocation spans competing services, acquisitions, content, technology and geographies. The CFO can balance portfolio-level returns without allowing one service to optimize funding at the expense of the broader transformation.</w:t>
      </w:r>
    </w:p>
    <w:p>
      <w:pPr>
        <w:spacing w:after="60"/>
      </w:pPr>
      <w:r>
        <w:rPr>
          <w:rFonts w:ascii="Arial" w:hAnsi="Arial"/>
        </w:rPr>
        <w:t>D2 · Shared-Platform Architecture Standards — President of Disney Streaming Services</w:t>
      </w:r>
    </w:p>
    <w:p>
      <w:pPr>
        <w:spacing w:after="60"/>
      </w:pPr>
      <w:r>
        <w:rPr>
          <w:rFonts w:ascii="Arial" w:hAnsi="Arial"/>
        </w:rPr>
        <w:t>BAMTech and the streaming organization provide the common technical foundation for Disney's DTC services. Platform accountability belongs with the streaming leader so Disney+, ESPN+ and Hulu do not drift into incompatible architectures while justified exceptions remain possible.</w:t>
      </w:r>
    </w:p>
    <w:p>
      <w:pPr>
        <w:spacing w:after="60"/>
      </w:pPr>
      <w:r>
        <w:rPr>
          <w:rFonts w:ascii="Arial" w:hAnsi="Arial"/>
        </w:rPr>
        <w:t>D3 · Enterprise Data Governance — Chief Data Officer</w:t>
      </w:r>
    </w:p>
    <w:p>
      <w:pPr>
        <w:spacing w:after="60"/>
      </w:pPr>
      <w:r>
        <w:rPr>
          <w:rFonts w:ascii="Arial" w:hAnsi="Arial"/>
        </w:rPr>
        <w:t>Customer data crosses products, geographies and business-unit boundaries. Central accountability is needed for definitions, quality, access, analytics and identity standards rather than service-by-service governance.</w:t>
      </w:r>
    </w:p>
    <w:p>
      <w:pPr>
        <w:spacing w:after="60"/>
      </w:pPr>
      <w:r>
        <w:rPr>
          <w:rFonts w:ascii="Arial" w:hAnsi="Arial"/>
        </w:rPr>
        <w:t>D4 · Portfolio &amp; Initiative Prioritization — Chairman of DTCI</w:t>
      </w:r>
    </w:p>
    <w:p>
      <w:pPr>
        <w:spacing w:after="60"/>
      </w:pPr>
      <w:r>
        <w:rPr>
          <w:rFonts w:ascii="Arial" w:hAnsi="Arial"/>
        </w:rPr>
        <w:t>Prioritization requires trade-offs across Disney+, ESPN+, Hulu, international operations, content organizations and the shared platform. The Chairman of DTCI has the cross-business authority to resolve resource conflicts when funding, engineering capacity or launch resources are constrained.</w:t>
      </w:r>
    </w:p>
    <w:p>
      <w:pPr>
        <w:spacing w:after="60"/>
      </w:pPr>
      <w:r>
        <w:rPr>
          <w:rFonts w:ascii="Arial" w:hAnsi="Arial"/>
        </w:rPr>
        <w:t>D5 · Vendor &amp; Partnership Governance — Chairman of DTCI</w:t>
      </w:r>
    </w:p>
    <w:p>
      <w:pPr>
        <w:spacing w:after="60"/>
      </w:pPr>
      <w:r>
        <w:rPr>
          <w:rFonts w:ascii="Arial" w:hAnsi="Arial"/>
        </w:rPr>
        <w:t>Major technology, distribution, payment, telecom and content partnerships can affect multiple services and markets. Central accountability prevents conflicting agreements while specialist functions perform evaluation, negotiation and risk review.</w:t>
      </w:r>
    </w:p>
    <w:p>
      <w:pPr>
        <w:spacing w:after="60"/>
      </w:pPr>
      <w:r>
        <w:rPr>
          <w:rFonts w:ascii="Arial" w:hAnsi="Arial"/>
        </w:rPr>
        <w:t>D6 · Streaming Content &amp; Brand Allocation — Chairman, DMED</w:t>
      </w:r>
    </w:p>
    <w:p>
      <w:pPr>
        <w:spacing w:after="60"/>
      </w:pPr>
      <w:r>
        <w:rPr>
          <w:rFonts w:ascii="Arial" w:hAnsi="Arial"/>
        </w:rPr>
        <w:t>Deciding where a title goes (theatrical, linear or a streaming service) sets both subscriber growth and licensing income, so the owner must hold the distribution P&amp;L rather than one content group's. I7 creates that role in DMED. Until I7 takes effect, the decision has no single owner and escalates to the CEO, as the Mulan release did (announced by the CEO on the Q3 FY2020 earnings call, Aug 4, 2020); dashboard metric M2 tracks that gap.</w:t>
      </w:r>
    </w:p>
    <w:p>
      <w:pPr>
        <w:spacing w:after="60"/>
      </w:pPr>
      <w:r>
        <w:rPr>
          <w:rFonts w:ascii="Arial" w:hAnsi="Arial"/>
        </w:rPr>
        <w:t>D7 · Global Market Entry &amp; Service Configuration — Chairman of DTCI</w:t>
      </w:r>
    </w:p>
    <w:p>
      <w:pPr>
        <w:spacing w:after="60"/>
      </w:pPr>
      <w:r>
        <w:rPr>
          <w:rFonts w:ascii="Arial" w:hAnsi="Arial"/>
        </w:rPr>
        <w:t>International expansion integrates market attractiveness, regulation, rights, platform readiness, pricing, localization and partnerships. The Chairman of DTCI is positioned to balance those cross-enterprise considerations and the capabilities added through the Fox/Star/Hotstar footprint.</w:t>
      </w:r>
    </w:p>
    <w:p>
      <w:pPr>
        <w:spacing w:after="60"/>
      </w:pPr>
      <w:r>
        <w:rPr>
          <w:rFonts w:ascii="Arial" w:hAnsi="Arial"/>
        </w:rPr>
        <w:t>Roadmap linkage</w:t>
      </w:r>
    </w:p>
    <w:p>
      <w:pPr>
        <w:spacing w:after="60"/>
      </w:pPr>
      <w:r>
        <w:rPr>
          <w:rFonts w:ascii="Arial" w:hAnsi="Arial"/>
        </w:rPr>
        <w:t>D1: I2/I5/I7 · D2: I1/I3/I5/I6 · D3: I1/I2/I6 · D4: I2/I5/I6/I7 · D5: I1/E1/I6 · D6: I4/I5/I7 · D7: E1/I6</w:t>
      </w:r>
    </w:p>
    <w:sectPr w:rsidR="00FC693F" w:rsidRPr="0006063C" w:rsidSect="00034616">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887"/>
        <w:sz w:val="14"/>
      </w:rPr>
      <w:t>Disney DTC Transformation · Week 6 · Team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37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37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37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