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05A9DEE4" wp14:textId="77777777">
      <w:pPr>
        <w:spacing w:after="80"/>
        <w:jc w:val="center"/>
      </w:pPr>
      <w:r>
        <w:rPr>
          <w:b/>
          <w:color w:val="1F4E79"/>
          <w:sz w:val="40"/>
        </w:rPr>
        <w:t>Disney Direct-to-Consumer Transformation</w:t>
      </w:r>
    </w:p>
    <w:p xmlns:wp14="http://schemas.microsoft.com/office/word/2010/wordml" w14:paraId="72C5E0DB" wp14:textId="77777777">
      <w:pPr>
        <w:spacing w:after="320"/>
        <w:jc w:val="center"/>
      </w:pPr>
      <w:r>
        <w:rPr>
          <w:b/>
          <w:color w:val="595959"/>
          <w:sz w:val="20"/>
        </w:rPr>
        <w:t>WEEK 7 · GROUP 3 · QUALITY ASSURANCE REVIEW</w:t>
      </w:r>
    </w:p>
    <w:p xmlns:wp14="http://schemas.microsoft.com/office/word/2010/wordml" w14:paraId="28DB57F5" wp14:textId="77777777">
      <w:pPr>
        <w:pStyle w:val="Heading1"/>
        <w:keepNext/>
      </w:pPr>
      <w:r>
        <w:t>1. Review purpose</w:t>
      </w:r>
    </w:p>
    <w:p xmlns:wp14="http://schemas.microsoft.com/office/word/2010/wordml" w14:paraId="290B6306" wp14:textId="77777777">
      <w:r>
        <w:t>This review summarizes quality-assurance feedback for the KPI Rationale, the data-analysis workbook, and the initial HTML dashboard. The focus is rubric compliance, analytical rigor, source traceability, and consistency across all three deliverables. Recommendations are prioritized according to their likely effect on the final score.</w:t>
      </w:r>
    </w:p>
    <w:p xmlns:wp14="http://schemas.microsoft.com/office/word/2010/wordml" w14:paraId="6C7831B2" wp14:textId="77777777">
      <w:pPr>
        <w:pStyle w:val="Heading1"/>
        <w:keepNext/>
      </w:pPr>
      <w:r>
        <w:t>2. KPI Rationale review</w:t>
      </w:r>
    </w:p>
    <w:p xmlns:wp14="http://schemas.microsoft.com/office/word/2010/wordml" w14:paraId="3A050212" wp14:textId="77777777">
      <w:pPr>
        <w:pStyle w:val="ListBullet"/>
        <w:spacing w:after="120"/>
        <w:rPr/>
      </w:pPr>
      <w:r w:rsidRPr="1E39F79A" w:rsidR="1E39F79A">
        <w:rPr>
          <w:b w:val="1"/>
          <w:bCs w:val="1"/>
          <w:color w:val="auto"/>
        </w:rPr>
        <w:t>Overall assessment:</w:t>
      </w:r>
      <w:r w:rsidRPr="1E39F79A" w:rsidR="1E39F79A">
        <w:rPr>
          <w:b w:val="1"/>
          <w:bCs w:val="1"/>
          <w:color w:val="00703C"/>
        </w:rPr>
        <w:t xml:space="preserve"> </w:t>
      </w:r>
      <w:r w:rsidR="1E39F79A">
        <w:rPr/>
        <w:t>Conceptually excellent. The rationale frames Disney’s transformation as a test of sustainable economic returns rather than simple streaming growth, and the seven KPIs collectively distinguish healthy monetization from margin harvesting.</w:t>
      </w:r>
    </w:p>
    <w:p xmlns:wp14="http://schemas.microsoft.com/office/word/2010/wordml" w14:paraId="13884182" wp14:textId="77777777">
      <w:pPr>
        <w:pStyle w:val="ListBullet"/>
        <w:spacing w:after="120"/>
        <w:rPr/>
      </w:pPr>
      <w:r w:rsidRPr="1E39F79A" w:rsidR="1E39F79A">
        <w:rPr>
          <w:b w:val="1"/>
          <w:bCs w:val="1"/>
          <w:color w:val="auto"/>
        </w:rPr>
        <w:t>What works:</w:t>
      </w:r>
      <w:r w:rsidRPr="1E39F79A" w:rsidR="1E39F79A">
        <w:rPr>
          <w:b w:val="1"/>
          <w:bCs w:val="1"/>
          <w:color w:val="00703C"/>
        </w:rPr>
        <w:t xml:space="preserve"> </w:t>
      </w:r>
      <w:r w:rsidR="1E39F79A">
        <w:rPr/>
        <w:t>The three-leading/four-lagging balance is explicit; every KPI follows a consistent definition, diagnostic value, evidence, signal, and limitation structure; and the profitability measures are defended as tests of progressively wider economic perimeters rather than redundant outcomes.</w:t>
      </w:r>
    </w:p>
    <w:p xmlns:wp14="http://schemas.microsoft.com/office/word/2010/wordml" w14:paraId="1DD96FB7" wp14:textId="77777777">
      <w:pPr>
        <w:pStyle w:val="Heading1"/>
        <w:keepNext/>
      </w:pPr>
      <w:r>
        <w:t>3. Data Analysis workbook review</w:t>
      </w:r>
    </w:p>
    <w:p xmlns:wp14="http://schemas.microsoft.com/office/word/2010/wordml" w14:paraId="59E6364D" wp14:textId="77777777">
      <w:pPr>
        <w:pStyle w:val="ListBullet"/>
        <w:spacing w:after="120"/>
        <w:rPr/>
      </w:pPr>
      <w:r w:rsidRPr="1E39F79A" w:rsidR="1E39F79A">
        <w:rPr>
          <w:b w:val="1"/>
          <w:bCs w:val="1"/>
          <w:color w:val="auto"/>
        </w:rPr>
        <w:t>Overall assessment:</w:t>
      </w:r>
      <w:r w:rsidRPr="1E39F79A" w:rsidR="1E39F79A">
        <w:rPr>
          <w:b w:val="1"/>
          <w:bCs w:val="1"/>
          <w:color w:val="00703C"/>
        </w:rPr>
        <w:t xml:space="preserve"> </w:t>
      </w:r>
      <w:r w:rsidR="1E39F79A">
        <w:rPr/>
        <w:t>The workbook is thoughtfully organized and demonstrates strong data discipline. It clearly separates reported, recast, and calculated values, documents formulas, and warns against connecting incompatible reporting definitions.</w:t>
      </w:r>
    </w:p>
    <w:p xmlns:wp14="http://schemas.microsoft.com/office/word/2010/wordml" w14:paraId="4C94EDCB" wp14:textId="77777777">
      <w:pPr>
        <w:pStyle w:val="ListBullet"/>
        <w:spacing w:after="120"/>
        <w:rPr/>
      </w:pPr>
      <w:r w:rsidRPr="1E39F79A" w:rsidR="1E39F79A">
        <w:rPr>
          <w:b w:val="1"/>
          <w:bCs w:val="1"/>
          <w:color w:val="auto"/>
        </w:rPr>
        <w:t xml:space="preserve">What works: </w:t>
      </w:r>
      <w:r w:rsidR="1E39F79A">
        <w:rPr/>
        <w:t>All seven KPIs include at least four observations; most sources are primary disclosures; calculation methods are retained at row level; and the README gives the dashboard builder clear rules for recasts, estimates, and scope breaks.</w:t>
      </w:r>
    </w:p>
    <w:p xmlns:wp14="http://schemas.microsoft.com/office/word/2010/wordml" w14:paraId="222635F2" wp14:textId="77777777">
      <w:pPr>
        <w:pStyle w:val="ListBullet"/>
        <w:spacing w:after="120"/>
        <w:rPr/>
      </w:pPr>
      <w:r w:rsidRPr="1E39F79A" w:rsidR="1E39F79A">
        <w:rPr>
          <w:b w:val="1"/>
          <w:bCs w:val="1"/>
          <w:color w:val="auto"/>
        </w:rPr>
        <w:t xml:space="preserve">Inflection issue: </w:t>
      </w:r>
      <w:r w:rsidR="1E39F79A">
        <w:rPr/>
        <w:t>All three proposed inflections concern streaming operating margin. Because the dashboard must annotate at least two charts, add a supported inflection from another KPI, such as the FY2023 Entertainment-margin trough or a clearly labeled subscriber definition/disclosure break.</w:t>
      </w:r>
    </w:p>
    <w:p xmlns:wp14="http://schemas.microsoft.com/office/word/2010/wordml" w14:paraId="0A37501D" wp14:textId="77777777">
      <w:pPr>
        <w:spacing w:after="0"/>
      </w:pPr>
    </w:p>
    <w:p xmlns:wp14="http://schemas.microsoft.com/office/word/2010/wordml" w14:paraId="77C6B4EC" wp14:textId="77777777">
      <w:pPr>
        <w:pStyle w:val="Heading1"/>
        <w:keepNext/>
      </w:pPr>
      <w:r>
        <w:t>4. Initial HTML Dashboard review</w:t>
      </w:r>
    </w:p>
    <w:p xmlns:wp14="http://schemas.microsoft.com/office/word/2010/wordml" w14:paraId="2D079395" wp14:textId="77777777">
      <w:pPr>
        <w:pStyle w:val="ListBullet"/>
        <w:spacing w:after="120"/>
        <w:rPr/>
      </w:pPr>
      <w:r w:rsidRPr="1E39F79A" w:rsidR="1E39F79A">
        <w:rPr>
          <w:b w:val="1"/>
          <w:bCs w:val="1"/>
          <w:color w:val="auto"/>
        </w:rPr>
        <w:t>Overall assessment:</w:t>
      </w:r>
      <w:r w:rsidRPr="1E39F79A" w:rsidR="1E39F79A">
        <w:rPr>
          <w:b w:val="1"/>
          <w:bCs w:val="1"/>
          <w:color w:val="00703C"/>
        </w:rPr>
        <w:t xml:space="preserve"> </w:t>
      </w:r>
      <w:r w:rsidR="1E39F79A">
        <w:rPr/>
        <w:t>The initial dashboard is technically ambitious, visually clear, and much stronger than a basic Chart.js build. It highlights streaming margin as the hero KPI and embeds the workbook data for traceability.</w:t>
      </w:r>
    </w:p>
    <w:p xmlns:wp14="http://schemas.microsoft.com/office/word/2010/wordml" w14:paraId="72777448" wp14:textId="77777777">
      <w:pPr>
        <w:pStyle w:val="ListBullet"/>
        <w:spacing w:after="120"/>
        <w:rPr/>
      </w:pPr>
      <w:r w:rsidRPr="1E39F79A" w:rsidR="1E39F79A">
        <w:rPr>
          <w:b w:val="1"/>
          <w:bCs w:val="1"/>
          <w:color w:val="auto"/>
        </w:rPr>
        <w:t xml:space="preserve">What works: </w:t>
      </w:r>
      <w:r w:rsidR="1E39F79A">
        <w:rPr/>
        <w:t>Seven charts render from a hard-coded JavaScript object; the layout includes a company thesis, summary row, multiple chart types, source attribution, responsive behavior, and separate series for incompatible streaming-profitability definitions.</w:t>
      </w:r>
    </w:p>
    <w:p xmlns:wp14="http://schemas.microsoft.com/office/word/2010/wordml" w14:paraId="162E6C10" wp14:textId="4EC3AFFE">
      <w:pPr>
        <w:pStyle w:val="ListBullet"/>
        <w:spacing w:after="120"/>
        <w:rPr/>
      </w:pPr>
      <w:r w:rsidRPr="1E39F79A" w:rsidR="508CD631">
        <w:rPr>
          <w:b w:val="1"/>
          <w:bCs w:val="1"/>
          <w:color w:val="auto"/>
        </w:rPr>
        <w:t>Inflection issue:</w:t>
      </w:r>
      <w:r w:rsidRPr="1E39F79A" w:rsidR="508CD631">
        <w:rPr>
          <w:b w:val="1"/>
          <w:bCs w:val="1"/>
          <w:color w:val="C00000"/>
        </w:rPr>
        <w:t xml:space="preserve"> </w:t>
      </w:r>
      <w:r w:rsidR="1E39F79A">
        <w:rPr/>
        <w:t>The analytical inflections are not positioned as annotations across at least two charts. The chart plugin currently marks break-</w:t>
      </w:r>
      <w:r w:rsidR="1E39F79A">
        <w:rPr/>
        <w:t>even</w:t>
      </w:r>
      <w:r w:rsidR="1E39F79A">
        <w:rPr/>
        <w:t xml:space="preserve"> and reporting-definition changes only on the streaming-margin chart. Add an explained inflection directly to a second chart.</w:t>
      </w:r>
    </w:p>
    <w:p xmlns:wp14="http://schemas.microsoft.com/office/word/2010/wordml" w14:paraId="436C377E" wp14:textId="069C6B53">
      <w:pPr>
        <w:pStyle w:val="ListBullet"/>
        <w:spacing w:after="120"/>
        <w:rPr/>
      </w:pPr>
      <w:r w:rsidRPr="1E39F79A" w:rsidR="0FCF30A2">
        <w:rPr>
          <w:b w:val="1"/>
          <w:bCs w:val="1"/>
          <w:color w:val="auto"/>
        </w:rPr>
        <w:t>TODO issue</w:t>
      </w:r>
      <w:r w:rsidRPr="1E39F79A" w:rsidR="1E39F79A">
        <w:rPr>
          <w:b w:val="1"/>
          <w:bCs w:val="1"/>
          <w:color w:val="auto"/>
        </w:rPr>
        <w:t>:</w:t>
      </w:r>
      <w:r w:rsidRPr="1E39F79A" w:rsidR="1E39F79A">
        <w:rPr>
          <w:b w:val="1"/>
          <w:bCs w:val="1"/>
          <w:color w:val="C00000"/>
        </w:rPr>
        <w:t xml:space="preserve"> </w:t>
      </w:r>
      <w:r w:rsidR="1E39F79A">
        <w:rPr/>
        <w:t>Visible TODOs advertise incomplete work, including missing KPI 6 operating income, incomplete ARPU evidence, missing publication dates, and unresolved historical coverage. Resolve the gaps or revise the displayed scope, then remove development language.</w:t>
      </w:r>
    </w:p>
    <w:p xmlns:wp14="http://schemas.microsoft.com/office/word/2010/wordml" w14:paraId="5DAB6C7B" wp14:textId="77777777">
      <w:pPr>
        <w:spacing w:after="0"/>
      </w:pPr>
    </w:p>
    <w:p xmlns:wp14="http://schemas.microsoft.com/office/word/2010/wordml" w14:paraId="598FBCC7" wp14:textId="77777777">
      <w:pPr>
        <w:pStyle w:val="Heading1"/>
        <w:keepNext/>
      </w:pPr>
      <w:r>
        <w:t>5. Cross-deliverable priority actions</w:t>
      </w:r>
    </w:p>
    <w:p xmlns:wp14="http://schemas.microsoft.com/office/word/2010/wordml" w14:paraId="53C50EF8" wp14:textId="3AC83297">
      <w:pPr>
        <w:spacing w:after="120"/>
        <w:ind w:left="216" w:hanging="216"/>
      </w:pPr>
      <w:r w:rsidRPr="1E39F79A" w:rsidR="1E39F79A">
        <w:rPr>
          <w:b w:val="1"/>
          <w:bCs w:val="1"/>
          <w:color w:val="1F4E79"/>
        </w:rPr>
        <w:t xml:space="preserve">1. </w:t>
      </w:r>
      <w:r w:rsidR="1E39F79A">
        <w:rPr/>
        <w:t xml:space="preserve">Lock one metric dictionary </w:t>
      </w:r>
      <w:r w:rsidR="1E39F79A">
        <w:rPr/>
        <w:t>containing</w:t>
      </w:r>
      <w:r w:rsidR="1E39F79A">
        <w:rPr/>
        <w:t xml:space="preserve"> the exact KPI name, type, definition, period basis, definition groups, latest value, chart, and source IDs</w:t>
      </w:r>
      <w:r w:rsidR="1E39F79A">
        <w:rPr/>
        <w:t>.</w:t>
      </w:r>
      <w:r w:rsidR="28D48C88">
        <w:rPr/>
        <w:t xml:space="preserve"> This will be complete when we merge the individual documents into their overall summaries.</w:t>
      </w:r>
    </w:p>
    <w:p xmlns:wp14="http://schemas.microsoft.com/office/word/2010/wordml" w14:paraId="4A46F23E" wp14:textId="28F73FEC">
      <w:pPr>
        <w:spacing w:after="120"/>
        <w:ind w:left="216" w:hanging="216"/>
      </w:pPr>
      <w:r w:rsidRPr="1E39F79A" w:rsidR="28D48C88">
        <w:rPr>
          <w:b w:val="1"/>
          <w:bCs w:val="1"/>
          <w:color w:val="1F4E79"/>
        </w:rPr>
        <w:t>2</w:t>
      </w:r>
      <w:r w:rsidRPr="1E39F79A" w:rsidR="1E39F79A">
        <w:rPr>
          <w:b w:val="1"/>
          <w:bCs w:val="1"/>
          <w:color w:val="1F4E79"/>
        </w:rPr>
        <w:t xml:space="preserve">. </w:t>
      </w:r>
      <w:r w:rsidR="1E39F79A">
        <w:rPr/>
        <w:t>Use explained chart annotations on at least two charts and reference each annotated period in the Strategic Interpretation.</w:t>
      </w:r>
    </w:p>
    <w:p xmlns:wp14="http://schemas.microsoft.com/office/word/2010/wordml" w14:paraId="3019F3C8" wp14:textId="3D823FC5">
      <w:pPr>
        <w:spacing w:after="120"/>
        <w:ind w:left="216" w:hanging="216"/>
      </w:pPr>
      <w:r w:rsidRPr="1E39F79A" w:rsidR="5662BC43">
        <w:rPr>
          <w:b w:val="1"/>
          <w:bCs w:val="1"/>
          <w:color w:val="1F4E79"/>
        </w:rPr>
        <w:t>3</w:t>
      </w:r>
      <w:r w:rsidRPr="1E39F79A" w:rsidR="1E39F79A">
        <w:rPr>
          <w:b w:val="1"/>
          <w:bCs w:val="1"/>
          <w:color w:val="1F4E79"/>
        </w:rPr>
        <w:t xml:space="preserve">. </w:t>
      </w:r>
      <w:r w:rsidR="1E39F79A">
        <w:rPr/>
        <w:t>Remove all TODO and internal development language from the submission version and state only the supported analysis window.</w:t>
      </w:r>
    </w:p>
    <w:p xmlns:wp14="http://schemas.microsoft.com/office/word/2010/wordml" w14:paraId="0AF593D0" wp14:textId="77777777">
      <w:pPr>
        <w:pStyle w:val="Heading1"/>
        <w:keepNext/>
      </w:pPr>
      <w:r>
        <w:t>6. Final QA position</w:t>
      </w:r>
    </w:p>
    <w:p xmlns:wp14="http://schemas.microsoft.com/office/word/2010/wordml" w14:paraId="13E46942" wp14:textId="14DE501F">
      <w:r w:rsidR="1E39F79A">
        <w:rPr/>
        <w:t xml:space="preserve">The project has a strong strategic thesis, credible sourcing discipline, and an above-average dashboard foundation. The remaining risk is not presentation quality; it is internal consistency. If the team standardizes KPI names and figures, adds chart-level inflections on a second visualization, and removes visible development </w:t>
      </w:r>
      <w:r w:rsidR="1E39F79A">
        <w:rPr/>
        <w:t>notes,</w:t>
      </w:r>
      <w:r w:rsidR="1E39F79A">
        <w:rPr/>
        <w:t xml:space="preserve"> the package should be competitive in the Excellent scoring band.</w:t>
      </w:r>
    </w:p>
    <w:sectPr w:rsidRPr="0006063C" w:rsidR="00FC693F" w:rsidSect="00034616">
      <w:footerReference w:type="default" r:id="rId9"/>
      <w:pgSz w:w="12240" w:h="15840" w:orient="portrait"/>
      <w:pgMar w:top="1080" w:right="1800" w:bottom="1008"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83CB3B1" wp14:textId="77777777">
    <w:pPr>
      <w:pStyle w:val="Footer"/>
      <w:jc w:val="center"/>
    </w:pPr>
    <w:r>
      <w:rPr>
        <w:color w:val="787878"/>
        <w:sz w:val="18"/>
      </w:rPr>
      <w:t>Group 3 · Disney Week 7 · Quality Assurance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644351"/>
    <w:rsid w:val="0FCF30A2"/>
    <w:rsid w:val="1E39F79A"/>
    <w:rsid w:val="288F1727"/>
    <w:rsid w:val="288F1727"/>
    <w:rsid w:val="28D48C88"/>
    <w:rsid w:val="326F94EA"/>
    <w:rsid w:val="3EB44A5E"/>
    <w:rsid w:val="43E3341C"/>
    <w:rsid w:val="479B81A3"/>
    <w:rsid w:val="508CD631"/>
    <w:rsid w:val="517620F8"/>
    <w:rsid w:val="5662BC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8635853-BA67-4FBD-90BB-B3EE52FEE6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tos Display" w:hAnsi="Aptos Display" w:asciiTheme="majorHAnsi" w:hAnsiTheme="majorHAnsi" w:eastAsiaTheme="majorEastAsia"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tos Display" w:hAnsi="Aptos Display" w:asciiTheme="majorHAnsi" w:hAnsiTheme="majorHAnsi" w:eastAsiaTheme="majorEastAsia"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ptos Display" w:hAnsi="Aptos Display" w:asciiTheme="majorHAnsi" w:hAnsiTheme="majorHAnsi" w:eastAsiaTheme="majorEastAsia" w:cstheme="majorBidi"/>
      <w:b/>
      <w:color w:val="183653"/>
      <w:spacing w:val="5"/>
      <w:kern w:val="28"/>
      <w:sz w:val="3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Disney Week 7 Quality Assurance Feedback</dc:title>
  <dc:subject>QA summary for KPI rationale, data analysis, and initial dashboard</dc:subject>
  <dc:creator>Keagan Smith</dc:creator>
  <keywords/>
  <dc:description>generated by python-docx</dc:description>
  <lastModifiedBy>Keagan Smith</lastModifiedBy>
  <revision>2</revision>
  <dcterms:created xsi:type="dcterms:W3CDTF">2026-10-12T15:08:08.9513881Z</dcterms:created>
  <dcterms:modified xsi:type="dcterms:W3CDTF">2026-10-12T15:37:53.2661548Z</dcterms:modified>
  <category/>
</coreProperties>
</file>