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Disney Direct-to-Consumer Transformation</w:t>
      </w:r>
    </w:p>
    <w:p>
      <w:pPr>
        <w:pStyle w:val="BodyText"/>
      </w:pPr>
      <w:r>
        <w:rPr>
          <w:bCs/>
          <w:b/>
        </w:rPr>
        <w:t xml:space="preserve">KPI Rationale</w:t>
      </w:r>
    </w:p>
    <w:p>
      <w:pPr>
        <w:pStyle w:val="BodyText"/>
      </w:pPr>
      <w:r>
        <w:rPr>
          <w:iCs/>
          <w:i/>
        </w:rPr>
        <w:t xml:space="preserve">Group 3 · Week 7 · Live KPI Dashboard</w:t>
      </w:r>
    </w:p>
    <w:p>
      <w:pPr>
        <w:pStyle w:val="BodyText"/>
      </w:pPr>
      <w:r>
        <w:rPr>
          <w:bCs/>
          <w:b/>
        </w:rPr>
        <w:t xml:space="preserve">Team and contributions</w:t>
      </w:r>
    </w:p>
    <w:p>
      <w:pPr>
        <w:pStyle w:val="BodyText"/>
      </w:pPr>
      <w:r>
        <w:rPr>
          <w:bCs/>
          <w:b/>
        </w:rPr>
        <w:t xml:space="preserve">Dimitrius — Metric Selector.</w:t>
      </w:r>
      <w:r>
        <w:t xml:space="preserve"> </w:t>
      </w:r>
      <w:r>
        <w:t xml:space="preserve">Defined the transformation thesis, selected the seven KPIs and wrote this KPI Rationale and the Strategic Interpretation. Led the final integration of the dataset, dashboard and narrative.</w:t>
      </w:r>
    </w:p>
    <w:p>
      <w:pPr>
        <w:pStyle w:val="BodyText"/>
      </w:pPr>
      <w:r>
        <w:rPr>
          <w:bCs/>
          <w:b/>
        </w:rPr>
        <w:t xml:space="preserve">Madhin — Data Analyst.</w:t>
      </w:r>
      <w:r>
        <w:t xml:space="preserve"> </w:t>
      </w:r>
      <w:r>
        <w:t xml:space="preserve">Built the master dataset for all seven KPIs from Disney filings and Nielsen releases, including definition bridges and estimate notes. Identified and documented the inflection points annotated in the dashboard.</w:t>
      </w:r>
    </w:p>
    <w:p>
      <w:pPr>
        <w:pStyle w:val="BodyText"/>
      </w:pPr>
      <w:r>
        <w:rPr>
          <w:bCs/>
          <w:b/>
        </w:rPr>
        <w:t xml:space="preserve">Tiago — Dashboard Builder.</w:t>
      </w:r>
      <w:r>
        <w:t xml:space="preserve"> </w:t>
      </w:r>
      <w:r>
        <w:t xml:space="preserve">Built the single-file HTML/Chart.js dashboard from the master dataset. Implemented the streaming-margin hero chart, inflection annotations and source attribution.</w:t>
      </w:r>
    </w:p>
    <w:p>
      <w:pPr>
        <w:pStyle w:val="BodyText"/>
      </w:pPr>
      <w:r>
        <w:rPr>
          <w:bCs/>
          <w:b/>
        </w:rPr>
        <w:t xml:space="preserve">Keegan — QA &amp; Source Verification.</w:t>
      </w:r>
      <w:r>
        <w:t xml:space="preserve"> </w:t>
      </w:r>
      <w:r>
        <w:t xml:space="preserve">Verified every data series against its named, dated source and cross-checked the dataset against the dashboard. Ran the internal-consistency and rubric checks before submission.</w:t>
      </w:r>
    </w:p>
    <w:p>
      <w:r>
        <w:pict>
          <v:rect style="width:0;height:1.5pt" o:hralign="center" o:hrstd="t" o:hr="t"/>
        </w:pict>
      </w:r>
    </w:p>
    <w:p>
      <w:pPr>
        <w:pStyle w:val="FirstParagraph"/>
      </w:pPr>
      <w:r>
        <w:t xml:space="preserve">Disney’s direct-to-consumer transformation is an economic transition, not a streaming growth story. The question is whether Disney has moved from buying streaming scale to earning sustainable returns. A margin curve alone cannot answer it. The swing from losses to profit could reflect a durable model, or a harvest in which price increases and lower content spending extract value from a captive base. Our seven KPIs, three leading and four lagging, are chosen to tell those two explanations apart. We omit the platform dimension because Disney’s thesis is a revenue-model shift, not a third-party ecosystem.</w:t>
      </w:r>
    </w:p>
    <w:p>
      <w:pPr>
        <w:pStyle w:val="BodyText"/>
      </w:pPr>
      <w:r>
        <w:rPr>
          <w:bCs/>
          <w:b/>
        </w:rPr>
        <w:t xml:space="preserve">Disney+ Core paid subscribers and net adds</w:t>
      </w:r>
      <w:r>
        <w:t xml:space="preserve"> </w:t>
      </w:r>
      <w:r>
        <w:t xml:space="preserve">measures whether the customer base that future revenue depends on is still growing. Net adds move quarters before revenue or profit. We use Core, which excludes Disney+ Hotstar, because Hotstar’s exit after the November 2024 Star India joint venture would otherwise appear as a false collapse. Subscriber growth alone is weak proof of demand, since wholesale deals such as Charter’s Spectrum bundle add subscribers without a consumer choosing to pay.</w:t>
      </w:r>
    </w:p>
    <w:p>
      <w:pPr>
        <w:pStyle w:val="BodyText"/>
      </w:pPr>
      <w:r>
        <w:rPr>
          <w:bCs/>
          <w:b/>
        </w:rPr>
        <w:t xml:space="preserve">Disney share of US TV viewing</w:t>
      </w:r>
      <w:r>
        <w:t xml:space="preserve"> </w:t>
      </w:r>
      <w:r>
        <w:t xml:space="preserve">is therefore the decisive leading signal, and the only one measured outside Disney. Attention comes before both churn and advertising revenue, and it is the one thing price increases and bundles cannot manufacture. Because Nielsen’s measure covers Disney’s whole TV portfolio, including linear networks, we treat it as an engagement proxy rather than direct proof of Disney+ demand.</w:t>
      </w:r>
    </w:p>
    <w:p>
      <w:pPr>
        <w:pStyle w:val="BodyText"/>
      </w:pPr>
      <w:r>
        <w:rPr>
          <w:bCs/>
          <w:b/>
        </w:rPr>
        <w:t xml:space="preserve">Content investment as % of total revenue</w:t>
      </w:r>
      <w:r>
        <w:t xml:space="preserve"> </w:t>
      </w:r>
      <w:r>
        <w:t xml:space="preserve">is the input side. Today’s spending becomes the slate that drives engagement one to three years later, a lag our dashboard tests rather than assumes. Because total revenue includes the parks business, the ratio can fall without any cut in content, so we read it alongside absolute spending.</w:t>
      </w:r>
    </w:p>
    <w:p>
      <w:pPr>
        <w:pStyle w:val="BodyText"/>
      </w:pPr>
      <w:r>
        <w:rPr>
          <w:bCs/>
          <w:b/>
        </w:rPr>
        <w:t xml:space="preserve">Disney+ ARPU, domestic vs. international</w:t>
      </w:r>
      <w:r>
        <w:t xml:space="preserve"> </w:t>
      </w:r>
      <w:r>
        <w:t xml:space="preserve">separates price from volume, which subscriber counts cannot. It is where the December 2022 ad-tier launch and successive price increases should appear, and the domestic-international split shows whether pricing power extends beyond the US.</w:t>
      </w:r>
    </w:p>
    <w:p>
      <w:pPr>
        <w:pStyle w:val="BodyText"/>
      </w:pPr>
      <w:r>
        <w:t xml:space="preserve">Three lagging metrics measure profit, and each answers a different question.</w:t>
      </w:r>
      <w:r>
        <w:t xml:space="preserve"> </w:t>
      </w:r>
      <w:r>
        <w:rPr>
          <w:bCs/>
          <w:b/>
        </w:rPr>
        <w:t xml:space="preserve">Streaming operating margin</w:t>
      </w:r>
      <w:r>
        <w:t xml:space="preserve">, our hero metric, shows whether the new model has crossed from loss to profit, an arc no other metric captures.</w:t>
      </w:r>
      <w:r>
        <w:t xml:space="preserve"> </w:t>
      </w:r>
      <w:r>
        <w:rPr>
          <w:bCs/>
          <w:b/>
        </w:rPr>
        <w:t xml:space="preserve">DTC vs. Linear Networks: revenue mix and operating income</w:t>
      </w:r>
      <w:r>
        <w:t xml:space="preserve"> </w:t>
      </w:r>
      <w:r>
        <w:t xml:space="preserve">shows, in dollars, whether streaming’s profit gains cover the decline of the linear business it is replacing. A profitable streaming unit that does not offset linear decline is value migration, not value creation.</w:t>
      </w:r>
      <w:r>
        <w:t xml:space="preserve"> </w:t>
      </w:r>
      <w:r>
        <w:rPr>
          <w:bCs/>
          <w:b/>
        </w:rPr>
        <w:t xml:space="preserve">Entertainment segment operating margin</w:t>
      </w:r>
      <w:r>
        <w:t xml:space="preserve"> </w:t>
      </w:r>
      <w:r>
        <w:t xml:space="preserve">is the whole-business check and the only view that includes studio and content-sales results, so the analysis cannot declare victory on one business line while the segment weakens.</w:t>
      </w:r>
    </w:p>
    <w:p>
      <w:pPr>
        <w:pStyle w:val="BodyText"/>
      </w:pPr>
      <w:r>
        <w:t xml:space="preserve">The balance is deliberate. Leading metrics ask whether the transformation engine is healthy; lagging metrics ask whether it produces value. Strong results in both support a monetization verdict, while strong profits alongside falling engagement point to harvest. One constraint shapes how we read the latest quarters: from fiscal 2026, Disney stopped reporting subscribers and ARPU and no longer breaks out linear results. Profit remains visible while most demand signals go dark, which makes viewing share the leading indicator that carries the analysis past that break.</w:t>
      </w:r>
    </w:p>
    <w:sectPr w:rsidR="00FC693F" w:rsidRPr="0006063C" w:rsidSect="00034616">
      <w:footerReference r:id="rId9" w:type="default"/>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7 — Value &amp; KPIs | Group 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2026-10-07T02:48:50Z</dcterms:created>
  <dcterms:modified xsi:type="dcterms:W3CDTF">2026-10-07T02:48:50Z</dcterms:modified>
</cp:coreProperties>
</file>

<file path=docProps/custom.xml><?xml version="1.0" encoding="utf-8"?>
<Properties xmlns="http://schemas.openxmlformats.org/officeDocument/2006/custom-properties" xmlns:vt="http://schemas.openxmlformats.org/officeDocument/2006/docPropsVTypes"/>
</file>