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NVIDIA WEEK 8 — PART 2</w:t>
      </w:r>
    </w:p>
    <w:p>
      <w:pPr>
        <w:jc w:val="center"/>
      </w:pPr>
      <w:r>
        <w:rPr>
          <w:b/>
          <w:color w:val="1F4E79"/>
          <w:sz w:val="26"/>
        </w:rPr>
        <w:t>Business Economics &amp; AI Moats</w:t>
      </w:r>
    </w:p>
    <w:p>
      <w:pPr>
        <w:jc w:val="center"/>
      </w:pPr>
      <w:r>
        <w:rPr>
          <w:i/>
          <w:color w:val="666666"/>
          <w:sz w:val="18"/>
        </w:rPr>
        <w:t>Mahdin Awsaf Chowdhury · Frameworks 3–5 · Research cutoff: 14 October 2026</w:t>
      </w:r>
    </w:p>
    <w:p>
      <w:pPr>
        <w:pStyle w:val="Heading1"/>
      </w:pPr>
      <w:r>
        <w:t>1. Executive Task 2 Verdict</w:t>
      </w:r>
    </w:p>
    <w:p>
      <w:r>
        <w:t>Framework 3 — Revenue Architecture: NVIDIA remains predominantly transactional and hardware-led. The economics are exceptional, but public filings do not provide a defensible CAC:LTV calculation. Customer concentration is high enough that the top two direct customers represented 36% of FY2026 revenue. Recurring software is strategically important, but NVIDIA does not separately disclose software revenue in a way that lets us determine its materiality from public reporting.</w:t>
      </w:r>
    </w:p>
    <w:p>
      <w:r>
        <w:rPr>
          <w:b/>
        </w:rPr>
        <w:t xml:space="preserve">Framework 4 — AI Moats &amp; Portfolio: </w:t>
      </w:r>
      <w:r>
        <w:t>The moat is the integrated full stack — chips, CUDA and software libraries, networking, systems and ecosystem — not the GPU alone. NVIDIA primarily builds the core stack, extended it through the $7B Mellanox acquisition, and relies on manufacturing/supply partners such as TSMC, Samsung and contract manufacturers.</w:t>
      </w:r>
    </w:p>
    <w:p>
      <w:r>
        <w:t>Framework 5 — Digital Maturity: NVIDIA scores 4.4/5 overall on the Week 5 maturity model: Strategy &amp; Leadership 5, Culture &amp; Talent 4, Technology &amp; Infrastructure 5, Operations &amp; Processes 4, and Customer Experience 4. No severe internal maturity deficit appears to be blocking the transformation. Operations &amp; Processes remains at 4/5 because public evidence supports managed, measured execution but does not establish Stage 5 continuous optimization across end-to-end operations. Dependence on external foundries, advanced packaging, memory and contract manufacturers is a structural supply-chain vulnerability, not by itself evidence of lower maturity. The central strategic binding constraint remains concentrated customers with both the ability and incentive to build substitute accelerators.</w:t>
      </w:r>
    </w:p>
    <w:p>
      <w:pPr>
        <w:pStyle w:val="Heading1"/>
      </w:pPr>
      <w:r>
        <w:t>2. Alignment With Dimitrius's Winning Map</w:t>
      </w:r>
    </w:p>
    <w:p>
      <w:pPr>
        <w:pStyle w:val="ListBullet"/>
        <w:spacing w:after="40"/>
      </w:pPr>
      <w:r>
        <w:t>Dimitrius assigned Frameworks 3–5 to Task 2 / Mahdin and explicitly requires Task 2 to validate revenue economics, the integrated moat, H1/H2/H3, build/buy/partner, maturity scores and the binding constraint.</w:t>
      </w:r>
    </w:p>
    <w:p>
      <w:pPr>
        <w:pStyle w:val="ListBullet"/>
        <w:spacing w:after="40"/>
      </w:pPr>
      <w:r>
        <w:t>This research supports his central causal chain: software/ecosystem lock-in supports value capture; high margins and concentrated customer scale create both motive and means for customers to fund substitutes.</w:t>
      </w:r>
    </w:p>
    <w:p>
      <w:pPr>
        <w:pStyle w:val="ListBullet"/>
        <w:spacing w:after="40"/>
      </w:pPr>
      <w:r>
        <w:t>One important guardrail remains: direct customers are not automatically hyperscalers or end users. NVIDIA says direct customers include distributors, ODMs, OEMs, CSPs, AI model makers and system integrators.</w:t>
      </w:r>
    </w:p>
    <w:p>
      <w:pPr>
        <w:pStyle w:val="Heading1"/>
      </w:pPr>
      <w:r>
        <w:t>3. Framework 3 — Revenue Architecture</w:t>
      </w:r>
    </w:p>
    <w:p>
      <w:r>
        <w:t>Paste-ready verdict: Transactional, hardware-dominant revenue with high customer concentration; recurring software exists, but NVIDIA does not separately disclose software revenue at a level that allows us to judge its materiality. CAC:LTV is insufficient public data, so the Evidence Log should state the gap rather than manufacture a ratio.</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7365D"/>
          </w:tcPr>
          <w:p>
            <w:pPr>
              <w:spacing w:after="0"/>
            </w:pPr>
            <w:r/>
            <w:r>
              <w:rPr>
                <w:rFonts w:ascii="Aptos" w:hAnsi="Aptos"/>
                <w:b/>
                <w:color w:val="FFFFFF"/>
                <w:sz w:val="16"/>
              </w:rPr>
              <w:t>Test</w:t>
            </w:r>
          </w:p>
        </w:tc>
        <w:tc>
          <w:tcPr>
            <w:tcW w:type="dxa" w:w="2664"/>
            <w:vAlign w:val="top"/>
            <w:shd w:fill="17365D"/>
          </w:tcPr>
          <w:p>
            <w:pPr>
              <w:spacing w:after="0"/>
            </w:pPr>
            <w:r/>
            <w:r>
              <w:rPr>
                <w:rFonts w:ascii="Aptos" w:hAnsi="Aptos"/>
                <w:b/>
                <w:color w:val="FFFFFF"/>
                <w:sz w:val="16"/>
              </w:rPr>
              <w:t>Evidence</w:t>
            </w:r>
          </w:p>
        </w:tc>
        <w:tc>
          <w:tcPr>
            <w:tcW w:type="dxa" w:w="2664"/>
            <w:vAlign w:val="top"/>
            <w:shd w:fill="17365D"/>
          </w:tcPr>
          <w:p>
            <w:pPr>
              <w:spacing w:after="0"/>
            </w:pPr>
            <w:r/>
            <w:r>
              <w:rPr>
                <w:rFonts w:ascii="Aptos" w:hAnsi="Aptos"/>
                <w:b/>
                <w:color w:val="FFFFFF"/>
                <w:sz w:val="16"/>
              </w:rPr>
              <w:t>Interpretation</w:t>
            </w:r>
          </w:p>
        </w:tc>
        <w:tc>
          <w:tcPr>
            <w:tcW w:type="dxa" w:w="2664"/>
            <w:vAlign w:val="top"/>
            <w:shd w:fill="17365D"/>
          </w:tcPr>
          <w:p>
            <w:pPr>
              <w:spacing w:after="0"/>
            </w:pPr>
            <w:r/>
            <w:r>
              <w:rPr>
                <w:rFonts w:ascii="Aptos" w:hAnsi="Aptos"/>
                <w:b/>
                <w:color w:val="FFFFFF"/>
                <w:sz w:val="16"/>
              </w:rPr>
              <w:t>Status</w:t>
            </w:r>
          </w:p>
        </w:tc>
      </w:tr>
      <w:tr>
        <w:tc>
          <w:tcPr>
            <w:tcW w:type="dxa" w:w="2664"/>
            <w:vAlign w:val="top"/>
          </w:tcPr>
          <w:p>
            <w:pPr>
              <w:spacing w:after="0"/>
            </w:pPr>
            <w:r/>
            <w:r>
              <w:rPr>
                <w:rFonts w:ascii="Aptos" w:hAnsi="Aptos"/>
                <w:b w:val="0"/>
                <w:sz w:val="15"/>
              </w:rPr>
              <w:t>Revenue concentration</w:t>
            </w:r>
          </w:p>
        </w:tc>
        <w:tc>
          <w:tcPr>
            <w:tcW w:type="dxa" w:w="2664"/>
            <w:vAlign w:val="top"/>
          </w:tcPr>
          <w:p>
            <w:pPr>
              <w:spacing w:after="0"/>
            </w:pPr>
            <w:r/>
            <w:r>
              <w:rPr>
                <w:rFonts w:ascii="Aptos" w:hAnsi="Aptos"/>
                <w:b w:val="0"/>
                <w:sz w:val="15"/>
              </w:rPr>
              <w:t>FY2026: one direct customer = 22% of revenue; another = 14%. FY2025: 12%, 11%, 11%.</w:t>
            </w:r>
          </w:p>
        </w:tc>
        <w:tc>
          <w:tcPr>
            <w:tcW w:type="dxa" w:w="2664"/>
            <w:vAlign w:val="top"/>
          </w:tcPr>
          <w:p>
            <w:pPr>
              <w:spacing w:after="0"/>
            </w:pPr>
            <w:r/>
            <w:r>
              <w:rPr>
                <w:rFonts w:ascii="Aptos" w:hAnsi="Aptos"/>
                <w:b w:val="0"/>
                <w:sz w:val="15"/>
              </w:rPr>
              <w:t>Two direct buyers alone represented 36% of FY2026 revenue. This creates material account concentration.</w:t>
            </w:r>
          </w:p>
        </w:tc>
        <w:tc>
          <w:tcPr>
            <w:tcW w:type="dxa" w:w="2664"/>
            <w:vAlign w:val="top"/>
          </w:tcPr>
          <w:p>
            <w:pPr>
              <w:spacing w:after="0"/>
            </w:pPr>
            <w:r/>
            <w:r>
              <w:rPr>
                <w:rFonts w:ascii="Aptos" w:hAnsi="Aptos"/>
                <w:b w:val="0"/>
                <w:sz w:val="15"/>
              </w:rPr>
              <w:t>Verified — NVIDIA FY2026 10-K</w:t>
            </w:r>
          </w:p>
        </w:tc>
      </w:tr>
      <w:tr>
        <w:tc>
          <w:tcPr>
            <w:tcW w:type="dxa" w:w="2664"/>
            <w:vAlign w:val="top"/>
          </w:tcPr>
          <w:p>
            <w:pPr>
              <w:spacing w:after="0"/>
            </w:pPr>
            <w:r/>
            <w:r>
              <w:rPr>
                <w:rFonts w:ascii="Aptos" w:hAnsi="Aptos"/>
                <w:b w:val="0"/>
                <w:sz w:val="15"/>
              </w:rPr>
              <w:t>Revenue mix</w:t>
            </w:r>
          </w:p>
        </w:tc>
        <w:tc>
          <w:tcPr>
            <w:tcW w:type="dxa" w:w="2664"/>
            <w:vAlign w:val="top"/>
          </w:tcPr>
          <w:p>
            <w:pPr>
              <w:spacing w:after="0"/>
            </w:pPr>
            <w:r/>
            <w:r>
              <w:rPr>
                <w:rFonts w:ascii="Aptos" w:hAnsi="Aptos"/>
                <w:b w:val="0"/>
                <w:sz w:val="15"/>
              </w:rPr>
              <w:t>FY2026 total revenue $215.938B; Data Center $193.737B (89.7%). Compute &amp; Networking segment revenue $193.479B.</w:t>
            </w:r>
          </w:p>
        </w:tc>
        <w:tc>
          <w:tcPr>
            <w:tcW w:type="dxa" w:w="2664"/>
            <w:vAlign w:val="top"/>
          </w:tcPr>
          <w:p>
            <w:pPr>
              <w:spacing w:after="0"/>
            </w:pPr>
            <w:r/>
            <w:r>
              <w:rPr>
                <w:rFonts w:ascii="Aptos" w:hAnsi="Aptos"/>
                <w:b w:val="0"/>
                <w:sz w:val="15"/>
              </w:rPr>
              <w:t>The business is overwhelmingly AI/data-center infrastructure rather than a diversified recurring-software model.</w:t>
            </w:r>
          </w:p>
        </w:tc>
        <w:tc>
          <w:tcPr>
            <w:tcW w:type="dxa" w:w="2664"/>
            <w:vAlign w:val="top"/>
          </w:tcPr>
          <w:p>
            <w:pPr>
              <w:spacing w:after="0"/>
            </w:pPr>
            <w:r/>
            <w:r>
              <w:rPr>
                <w:rFonts w:ascii="Aptos" w:hAnsi="Aptos"/>
                <w:b w:val="0"/>
                <w:sz w:val="15"/>
              </w:rPr>
              <w:t>Verified / calculated share</w:t>
            </w:r>
          </w:p>
        </w:tc>
      </w:tr>
      <w:tr>
        <w:tc>
          <w:tcPr>
            <w:tcW w:type="dxa" w:w="2664"/>
            <w:vAlign w:val="top"/>
          </w:tcPr>
          <w:p>
            <w:pPr>
              <w:spacing w:after="0"/>
            </w:pPr>
            <w:r/>
            <w:r>
              <w:rPr>
                <w:rFonts w:ascii="Aptos" w:hAnsi="Aptos"/>
                <w:b w:val="0"/>
                <w:sz w:val="15"/>
              </w:rPr>
              <w:t>Gross economics</w:t>
            </w:r>
          </w:p>
        </w:tc>
        <w:tc>
          <w:tcPr>
            <w:tcW w:type="dxa" w:w="2664"/>
            <w:vAlign w:val="top"/>
          </w:tcPr>
          <w:p>
            <w:pPr>
              <w:spacing w:after="0"/>
            </w:pPr>
            <w:r/>
            <w:r>
              <w:rPr>
                <w:rFonts w:ascii="Aptos" w:hAnsi="Aptos"/>
                <w:b w:val="0"/>
                <w:sz w:val="15"/>
              </w:rPr>
              <w:t>FY2026 GAAP gross margin 71.1%; FY2025 75.0%. Q2 FY2027 gross margin 75.0%.</w:t>
            </w:r>
          </w:p>
        </w:tc>
        <w:tc>
          <w:tcPr>
            <w:tcW w:type="dxa" w:w="2664"/>
            <w:vAlign w:val="top"/>
          </w:tcPr>
          <w:p>
            <w:pPr>
              <w:spacing w:after="0"/>
            </w:pPr>
            <w:r/>
            <w:r>
              <w:rPr>
                <w:rFonts w:ascii="Aptos" w:hAnsi="Aptos"/>
                <w:b w:val="0"/>
                <w:sz w:val="15"/>
              </w:rPr>
              <w:t>Margins are far above commodity-hardware economics, consistent with strong value capture, but scarcity and product mix can also contribute.</w:t>
            </w:r>
          </w:p>
        </w:tc>
        <w:tc>
          <w:tcPr>
            <w:tcW w:type="dxa" w:w="2664"/>
            <w:vAlign w:val="top"/>
          </w:tcPr>
          <w:p>
            <w:pPr>
              <w:spacing w:after="0"/>
            </w:pPr>
            <w:r/>
            <w:r>
              <w:rPr>
                <w:rFonts w:ascii="Aptos" w:hAnsi="Aptos"/>
                <w:b w:val="0"/>
                <w:sz w:val="15"/>
              </w:rPr>
              <w:t>Verified</w:t>
            </w:r>
          </w:p>
        </w:tc>
      </w:tr>
      <w:tr>
        <w:tc>
          <w:tcPr>
            <w:tcW w:type="dxa" w:w="2664"/>
            <w:vAlign w:val="top"/>
          </w:tcPr>
          <w:p>
            <w:pPr>
              <w:spacing w:after="0"/>
            </w:pPr>
            <w:r/>
            <w:r>
              <w:rPr>
                <w:rFonts w:ascii="Aptos" w:hAnsi="Aptos"/>
                <w:b w:val="0"/>
                <w:sz w:val="15"/>
              </w:rPr>
              <w:t>Software / recurring</w:t>
            </w:r>
          </w:p>
        </w:tc>
        <w:tc>
          <w:tcPr>
            <w:tcW w:type="dxa" w:w="2664"/>
            <w:vAlign w:val="top"/>
          </w:tcPr>
          <w:p>
            <w:pPr>
              <w:spacing w:after="0"/>
            </w:pPr>
            <w:r/>
            <w:r>
              <w:rPr>
                <w:rFonts w:ascii="Aptos" w:hAnsi="Aptos"/>
                <w:b w:val="0"/>
                <w:sz w:val="15"/>
              </w:rPr>
              <w:t>FY2026 10-K confirms paid licenses to NVIDIA AI Enterprise and vGPU, but NVIDIA does not separately report software revenue in the annual segment table.</w:t>
            </w:r>
          </w:p>
        </w:tc>
        <w:tc>
          <w:tcPr>
            <w:tcW w:type="dxa" w:w="2664"/>
            <w:vAlign w:val="top"/>
          </w:tcPr>
          <w:p>
            <w:r>
              <w:t>Software strengthens switching costs, but because NVIDIA does not separately disclose software revenue, public reporting does not establish whether recurring software is material to total revenue.</w:t>
            </w:r>
          </w:p>
        </w:tc>
        <w:tc>
          <w:tcPr>
            <w:tcW w:type="dxa" w:w="2664"/>
            <w:vAlign w:val="top"/>
          </w:tcPr>
          <w:p>
            <w:pPr>
              <w:spacing w:after="0"/>
            </w:pPr>
            <w:r/>
            <w:r>
              <w:rPr>
                <w:rFonts w:ascii="Aptos" w:hAnsi="Aptos"/>
                <w:b w:val="0"/>
                <w:sz w:val="15"/>
              </w:rPr>
              <w:t>Verified scope; amount undisclosed</w:t>
            </w:r>
          </w:p>
        </w:tc>
      </w:tr>
      <w:tr>
        <w:tc>
          <w:tcPr>
            <w:tcW w:type="dxa" w:w="2664"/>
            <w:vAlign w:val="top"/>
          </w:tcPr>
          <w:p>
            <w:pPr>
              <w:spacing w:after="0"/>
            </w:pPr>
            <w:r/>
            <w:r>
              <w:rPr>
                <w:rFonts w:ascii="Aptos" w:hAnsi="Aptos"/>
                <w:b w:val="0"/>
                <w:sz w:val="15"/>
              </w:rPr>
              <w:t>CAC:LTV</w:t>
            </w:r>
          </w:p>
        </w:tc>
        <w:tc>
          <w:tcPr>
            <w:tcW w:type="dxa" w:w="2664"/>
            <w:vAlign w:val="top"/>
          </w:tcPr>
          <w:p>
            <w:pPr>
              <w:spacing w:after="0"/>
            </w:pPr>
            <w:r/>
            <w:r>
              <w:rPr>
                <w:rFonts w:ascii="Aptos" w:hAnsi="Aptos"/>
                <w:b w:val="0"/>
                <w:sz w:val="15"/>
              </w:rPr>
              <w:t>NVIDIA filings do not disclose customer acquisition cost, retention, or customer lifetime value.</w:t>
            </w:r>
          </w:p>
        </w:tc>
        <w:tc>
          <w:tcPr>
            <w:tcW w:type="dxa" w:w="2664"/>
            <w:vAlign w:val="top"/>
          </w:tcPr>
          <w:p>
            <w:pPr>
              <w:spacing w:after="0"/>
            </w:pPr>
            <w:r/>
            <w:r>
              <w:rPr>
                <w:rFonts w:ascii="Aptos" w:hAnsi="Aptos"/>
                <w:b w:val="0"/>
                <w:sz w:val="15"/>
              </w:rPr>
              <w:t>Do not compute a fake CAC:LTV. A concentration/repeat-generation proxy may be discussed, clearly labeled as a proxy.</w:t>
            </w:r>
          </w:p>
        </w:tc>
        <w:tc>
          <w:tcPr>
            <w:tcW w:type="dxa" w:w="2664"/>
            <w:vAlign w:val="top"/>
          </w:tcPr>
          <w:p>
            <w:pPr>
              <w:spacing w:after="0"/>
            </w:pPr>
            <w:r/>
            <w:r>
              <w:rPr>
                <w:rFonts w:ascii="Aptos" w:hAnsi="Aptos"/>
                <w:b w:val="0"/>
                <w:sz w:val="15"/>
              </w:rPr>
              <w:t>Insufficient public data</w:t>
            </w:r>
          </w:p>
        </w:tc>
      </w:tr>
    </w:tbl>
    <w:p>
      <w:pPr>
        <w:pStyle w:val="Heading2"/>
      </w:pPr>
      <w:r>
        <w:t>4. Revenue Calculations for the Evidence Log / Brief</w:t>
      </w:r>
    </w:p>
    <w:tbl>
      <w:tblPr>
        <w:tblStyle w:val="TableGrid"/>
        <w:tblW w:type="auto" w:w="0"/>
        <w:tblLook w:firstColumn="1" w:firstRow="1" w:lastColumn="0" w:lastRow="0" w:noHBand="0" w:noVBand="1" w:val="04A0"/>
      </w:tblPr>
      <w:tblGrid>
        <w:gridCol w:w="3552"/>
        <w:gridCol w:w="3552"/>
        <w:gridCol w:w="3552"/>
      </w:tblGrid>
      <w:tr>
        <w:tc>
          <w:tcPr>
            <w:tcW w:type="dxa" w:w="3552"/>
            <w:vAlign w:val="top"/>
            <w:shd w:fill="17365D"/>
          </w:tcPr>
          <w:p>
            <w:pPr>
              <w:spacing w:after="0"/>
            </w:pPr>
            <w:r/>
            <w:r>
              <w:rPr>
                <w:rFonts w:ascii="Aptos" w:hAnsi="Aptos"/>
                <w:b/>
                <w:color w:val="FFFFFF"/>
                <w:sz w:val="16"/>
              </w:rPr>
              <w:t>Measure</w:t>
            </w:r>
          </w:p>
        </w:tc>
        <w:tc>
          <w:tcPr>
            <w:tcW w:type="dxa" w:w="3552"/>
            <w:vAlign w:val="top"/>
            <w:shd w:fill="17365D"/>
          </w:tcPr>
          <w:p>
            <w:pPr>
              <w:spacing w:after="0"/>
            </w:pPr>
            <w:r/>
            <w:r>
              <w:rPr>
                <w:rFonts w:ascii="Aptos" w:hAnsi="Aptos"/>
                <w:b/>
                <w:color w:val="FFFFFF"/>
                <w:sz w:val="16"/>
              </w:rPr>
              <w:t>Method</w:t>
            </w:r>
          </w:p>
        </w:tc>
        <w:tc>
          <w:tcPr>
            <w:tcW w:type="dxa" w:w="3552"/>
            <w:vAlign w:val="top"/>
            <w:shd w:fill="17365D"/>
          </w:tcPr>
          <w:p>
            <w:pPr>
              <w:spacing w:after="0"/>
            </w:pPr>
            <w:r/>
            <w:r>
              <w:rPr>
                <w:rFonts w:ascii="Aptos" w:hAnsi="Aptos"/>
                <w:b/>
                <w:color w:val="FFFFFF"/>
                <w:sz w:val="16"/>
              </w:rPr>
              <w:t>Result</w:t>
            </w:r>
          </w:p>
        </w:tc>
      </w:tr>
      <w:tr>
        <w:tc>
          <w:tcPr>
            <w:tcW w:type="dxa" w:w="3552"/>
            <w:vAlign w:val="top"/>
          </w:tcPr>
          <w:p>
            <w:pPr>
              <w:spacing w:after="0"/>
            </w:pPr>
            <w:r/>
            <w:r>
              <w:rPr>
                <w:rFonts w:ascii="Aptos" w:hAnsi="Aptos"/>
                <w:b w:val="0"/>
                <w:sz w:val="16"/>
              </w:rPr>
              <w:t>Data Center share of FY2026 revenue</w:t>
            </w:r>
          </w:p>
        </w:tc>
        <w:tc>
          <w:tcPr>
            <w:tcW w:type="dxa" w:w="3552"/>
            <w:vAlign w:val="top"/>
          </w:tcPr>
          <w:p>
            <w:pPr>
              <w:spacing w:after="0"/>
            </w:pPr>
            <w:r/>
            <w:r>
              <w:rPr>
                <w:rFonts w:ascii="Aptos" w:hAnsi="Aptos"/>
                <w:b w:val="0"/>
                <w:sz w:val="16"/>
              </w:rPr>
              <w:t>$193.737B / $215.938B</w:t>
            </w:r>
          </w:p>
        </w:tc>
        <w:tc>
          <w:tcPr>
            <w:tcW w:type="dxa" w:w="3552"/>
            <w:vAlign w:val="top"/>
          </w:tcPr>
          <w:p>
            <w:pPr>
              <w:spacing w:after="0"/>
            </w:pPr>
            <w:r/>
            <w:r>
              <w:rPr>
                <w:rFonts w:ascii="Aptos" w:hAnsi="Aptos"/>
                <w:b w:val="0"/>
                <w:sz w:val="16"/>
              </w:rPr>
              <w:t>89.7%</w:t>
            </w:r>
          </w:p>
        </w:tc>
      </w:tr>
      <w:tr>
        <w:tc>
          <w:tcPr>
            <w:tcW w:type="dxa" w:w="3552"/>
            <w:vAlign w:val="top"/>
          </w:tcPr>
          <w:p>
            <w:pPr>
              <w:spacing w:after="0"/>
            </w:pPr>
            <w:r/>
            <w:r>
              <w:rPr>
                <w:rFonts w:ascii="Aptos" w:hAnsi="Aptos"/>
                <w:b w:val="0"/>
                <w:sz w:val="16"/>
              </w:rPr>
              <w:t>Largest direct customer revenue proxy</w:t>
            </w:r>
          </w:p>
        </w:tc>
        <w:tc>
          <w:tcPr>
            <w:tcW w:type="dxa" w:w="3552"/>
            <w:vAlign w:val="top"/>
          </w:tcPr>
          <w:p>
            <w:pPr>
              <w:spacing w:after="0"/>
            </w:pPr>
            <w:r/>
            <w:r>
              <w:rPr>
                <w:rFonts w:ascii="Aptos" w:hAnsi="Aptos"/>
                <w:b w:val="0"/>
                <w:sz w:val="16"/>
              </w:rPr>
              <w:t>22% × $215.938B</w:t>
            </w:r>
          </w:p>
        </w:tc>
        <w:tc>
          <w:tcPr>
            <w:tcW w:type="dxa" w:w="3552"/>
            <w:vAlign w:val="top"/>
          </w:tcPr>
          <w:p>
            <w:pPr>
              <w:spacing w:after="0"/>
            </w:pPr>
            <w:r/>
            <w:r>
              <w:rPr>
                <w:rFonts w:ascii="Aptos" w:hAnsi="Aptos"/>
                <w:b w:val="0"/>
                <w:sz w:val="16"/>
              </w:rPr>
              <w:t>≈ $47.5B</w:t>
            </w:r>
          </w:p>
        </w:tc>
      </w:tr>
      <w:tr>
        <w:tc>
          <w:tcPr>
            <w:tcW w:type="dxa" w:w="3552"/>
            <w:vAlign w:val="top"/>
          </w:tcPr>
          <w:p>
            <w:pPr>
              <w:spacing w:after="0"/>
            </w:pPr>
            <w:r/>
            <w:r>
              <w:rPr>
                <w:rFonts w:ascii="Aptos" w:hAnsi="Aptos"/>
                <w:b w:val="0"/>
                <w:sz w:val="16"/>
              </w:rPr>
              <w:t>Second direct customer revenue proxy</w:t>
            </w:r>
          </w:p>
        </w:tc>
        <w:tc>
          <w:tcPr>
            <w:tcW w:type="dxa" w:w="3552"/>
            <w:vAlign w:val="top"/>
          </w:tcPr>
          <w:p>
            <w:pPr>
              <w:spacing w:after="0"/>
            </w:pPr>
            <w:r/>
            <w:r>
              <w:rPr>
                <w:rFonts w:ascii="Aptos" w:hAnsi="Aptos"/>
                <w:b w:val="0"/>
                <w:sz w:val="16"/>
              </w:rPr>
              <w:t>14% × $215.938B</w:t>
            </w:r>
          </w:p>
        </w:tc>
        <w:tc>
          <w:tcPr>
            <w:tcW w:type="dxa" w:w="3552"/>
            <w:vAlign w:val="top"/>
          </w:tcPr>
          <w:p>
            <w:pPr>
              <w:spacing w:after="0"/>
            </w:pPr>
            <w:r/>
            <w:r>
              <w:rPr>
                <w:rFonts w:ascii="Aptos" w:hAnsi="Aptos"/>
                <w:b w:val="0"/>
                <w:sz w:val="16"/>
              </w:rPr>
              <w:t>≈ $30.2B</w:t>
            </w:r>
          </w:p>
        </w:tc>
      </w:tr>
      <w:tr>
        <w:tc>
          <w:tcPr>
            <w:tcW w:type="dxa" w:w="3552"/>
            <w:vAlign w:val="top"/>
          </w:tcPr>
          <w:p>
            <w:pPr>
              <w:spacing w:after="0"/>
            </w:pPr>
            <w:r/>
            <w:r>
              <w:rPr>
                <w:rFonts w:ascii="Aptos" w:hAnsi="Aptos"/>
                <w:b w:val="0"/>
                <w:sz w:val="16"/>
              </w:rPr>
              <w:t>Top-two direct-customer share</w:t>
            </w:r>
          </w:p>
        </w:tc>
        <w:tc>
          <w:tcPr>
            <w:tcW w:type="dxa" w:w="3552"/>
            <w:vAlign w:val="top"/>
          </w:tcPr>
          <w:p>
            <w:pPr>
              <w:spacing w:after="0"/>
            </w:pPr>
            <w:r/>
            <w:r>
              <w:rPr>
                <w:rFonts w:ascii="Aptos" w:hAnsi="Aptos"/>
                <w:b w:val="0"/>
                <w:sz w:val="16"/>
              </w:rPr>
              <w:t>22% + 14%</w:t>
            </w:r>
          </w:p>
        </w:tc>
        <w:tc>
          <w:tcPr>
            <w:tcW w:type="dxa" w:w="3552"/>
            <w:vAlign w:val="top"/>
          </w:tcPr>
          <w:p>
            <w:pPr>
              <w:spacing w:after="0"/>
            </w:pPr>
            <w:r/>
            <w:r>
              <w:rPr>
                <w:rFonts w:ascii="Aptos" w:hAnsi="Aptos"/>
                <w:b w:val="0"/>
                <w:sz w:val="16"/>
              </w:rPr>
              <w:t>36%</w:t>
            </w:r>
          </w:p>
        </w:tc>
      </w:tr>
    </w:tbl>
    <w:p>
      <w:r>
        <w:rPr>
          <w:b/>
        </w:rPr>
        <w:t xml:space="preserve">Guardrail: </w:t>
      </w:r>
      <w:r>
        <w:t>The $47.5B and $30.2B figures are analyst calculations from revenue percentages, not NVIDIA-reported customer revenue figures. Do not identify either direct customer by name.</w:t>
      </w:r>
    </w:p>
    <w:p>
      <w:pPr>
        <w:pStyle w:val="Heading1"/>
      </w:pPr>
      <w:r>
        <w:t>5. Framework 4 — AI Moats &amp; Portfolio</w:t>
      </w:r>
    </w:p>
    <w:p>
      <w:r>
        <w:rPr>
          <w:b/>
        </w:rPr>
        <w:t xml:space="preserve">Paste-ready verdict: </w:t>
      </w:r>
      <w:r>
        <w:t>NVIDIA's AI moat is an integrated full stack of silicon, CUDA/software, networking and systems. The core capability is built internally, extended through acquisitions such as Mellanox, and scaled through foundry, memory, packaging and manufacturing partners.</w:t>
      </w:r>
    </w:p>
    <w:tbl>
      <w:tblPr>
        <w:tblStyle w:val="TableGrid"/>
        <w:tblW w:type="auto" w:w="0"/>
        <w:tblLook w:firstColumn="1" w:firstRow="1" w:lastColumn="0" w:lastRow="0" w:noHBand="0" w:noVBand="1" w:val="04A0"/>
      </w:tblPr>
      <w:tblGrid>
        <w:gridCol w:w="2664"/>
        <w:gridCol w:w="2664"/>
        <w:gridCol w:w="2664"/>
        <w:gridCol w:w="2664"/>
      </w:tblGrid>
      <w:tr>
        <w:tc>
          <w:tcPr>
            <w:tcW w:type="dxa" w:w="2664"/>
            <w:vAlign w:val="top"/>
            <w:shd w:fill="17365D"/>
          </w:tcPr>
          <w:p>
            <w:pPr>
              <w:spacing w:after="0"/>
            </w:pPr>
            <w:r/>
            <w:r>
              <w:rPr>
                <w:rFonts w:ascii="Aptos" w:hAnsi="Aptos"/>
                <w:b/>
                <w:color w:val="FFFFFF"/>
                <w:sz w:val="16"/>
              </w:rPr>
              <w:t>Layer</w:t>
            </w:r>
          </w:p>
        </w:tc>
        <w:tc>
          <w:tcPr>
            <w:tcW w:type="dxa" w:w="2664"/>
            <w:vAlign w:val="top"/>
            <w:shd w:fill="17365D"/>
          </w:tcPr>
          <w:p>
            <w:pPr>
              <w:spacing w:after="0"/>
            </w:pPr>
            <w:r/>
            <w:r>
              <w:rPr>
                <w:rFonts w:ascii="Aptos" w:hAnsi="Aptos"/>
                <w:b/>
                <w:color w:val="FFFFFF"/>
                <w:sz w:val="16"/>
              </w:rPr>
              <w:t>Evidence</w:t>
            </w:r>
          </w:p>
        </w:tc>
        <w:tc>
          <w:tcPr>
            <w:tcW w:type="dxa" w:w="2664"/>
            <w:vAlign w:val="top"/>
            <w:shd w:fill="17365D"/>
          </w:tcPr>
          <w:p>
            <w:pPr>
              <w:spacing w:after="0"/>
            </w:pPr>
            <w:r/>
            <w:r>
              <w:rPr>
                <w:rFonts w:ascii="Aptos" w:hAnsi="Aptos"/>
                <w:b/>
                <w:color w:val="FFFFFF"/>
                <w:sz w:val="16"/>
              </w:rPr>
              <w:t>Strategic meaning</w:t>
            </w:r>
          </w:p>
        </w:tc>
        <w:tc>
          <w:tcPr>
            <w:tcW w:type="dxa" w:w="2664"/>
            <w:vAlign w:val="top"/>
            <w:shd w:fill="17365D"/>
          </w:tcPr>
          <w:p>
            <w:pPr>
              <w:spacing w:after="0"/>
            </w:pPr>
            <w:r/>
            <w:r>
              <w:rPr>
                <w:rFonts w:ascii="Aptos" w:hAnsi="Aptos"/>
                <w:b/>
                <w:color w:val="FFFFFF"/>
                <w:sz w:val="16"/>
              </w:rPr>
              <w:t>Build / Buy / Partner</w:t>
            </w:r>
          </w:p>
        </w:tc>
      </w:tr>
      <w:tr>
        <w:tc>
          <w:tcPr>
            <w:tcW w:type="dxa" w:w="2664"/>
            <w:vAlign w:val="top"/>
          </w:tcPr>
          <w:p>
            <w:pPr>
              <w:spacing w:after="0"/>
            </w:pPr>
            <w:r/>
            <w:r>
              <w:rPr>
                <w:rFonts w:ascii="Aptos" w:hAnsi="Aptos"/>
                <w:b w:val="0"/>
                <w:sz w:val="15"/>
              </w:rPr>
              <w:t>Software / ecosystem</w:t>
            </w:r>
          </w:p>
        </w:tc>
        <w:tc>
          <w:tcPr>
            <w:tcW w:type="dxa" w:w="2664"/>
            <w:vAlign w:val="top"/>
          </w:tcPr>
          <w:p>
            <w:pPr>
              <w:spacing w:after="0"/>
            </w:pPr>
            <w:r/>
            <w:r>
              <w:rPr>
                <w:rFonts w:ascii="Aptos" w:hAnsi="Aptos"/>
                <w:b w:val="0"/>
                <w:sz w:val="15"/>
              </w:rPr>
              <w:t>FY2026 10-K: CUDA runs on all NVIDIA GPUs; the stack includes hundreds of libraries, frameworks, SDKs/APIs; 7.5M+ developers use CUDA and other NVIDIA software tools.</w:t>
            </w:r>
          </w:p>
        </w:tc>
        <w:tc>
          <w:tcPr>
            <w:tcW w:type="dxa" w:w="2664"/>
            <w:vAlign w:val="top"/>
          </w:tcPr>
          <w:p>
            <w:pPr>
              <w:spacing w:after="0"/>
            </w:pPr>
            <w:r/>
            <w:r>
              <w:rPr>
                <w:rFonts w:ascii="Aptos" w:hAnsi="Aptos"/>
                <w:b w:val="0"/>
                <w:sz w:val="15"/>
              </w:rPr>
              <w:t>The ecosystem raises switching costs and makes hardware more valuable as the installed developer/tool base expands.</w:t>
            </w:r>
          </w:p>
        </w:tc>
        <w:tc>
          <w:tcPr>
            <w:tcW w:type="dxa" w:w="2664"/>
            <w:vAlign w:val="top"/>
          </w:tcPr>
          <w:p>
            <w:pPr>
              <w:spacing w:after="0"/>
            </w:pPr>
            <w:r/>
            <w:r>
              <w:rPr>
                <w:rFonts w:ascii="Aptos" w:hAnsi="Aptos"/>
                <w:b w:val="0"/>
                <w:sz w:val="15"/>
              </w:rPr>
              <w:t>BUILD</w:t>
            </w:r>
          </w:p>
        </w:tc>
      </w:tr>
      <w:tr>
        <w:tc>
          <w:tcPr>
            <w:tcW w:type="dxa" w:w="2664"/>
            <w:vAlign w:val="top"/>
          </w:tcPr>
          <w:p>
            <w:pPr>
              <w:spacing w:after="0"/>
            </w:pPr>
            <w:r/>
            <w:r>
              <w:rPr>
                <w:rFonts w:ascii="Aptos" w:hAnsi="Aptos"/>
                <w:b w:val="0"/>
                <w:sz w:val="15"/>
              </w:rPr>
              <w:t>Silicon + systems</w:t>
            </w:r>
          </w:p>
        </w:tc>
        <w:tc>
          <w:tcPr>
            <w:tcW w:type="dxa" w:w="2664"/>
            <w:vAlign w:val="top"/>
          </w:tcPr>
          <w:p>
            <w:pPr>
              <w:spacing w:after="0"/>
            </w:pPr>
            <w:r/>
            <w:r>
              <w:rPr>
                <w:rFonts w:ascii="Aptos" w:hAnsi="Aptos"/>
                <w:b w:val="0"/>
                <w:sz w:val="15"/>
              </w:rPr>
              <w:t>FY2026 10-K describes Blackwell as data-center-scale infrastructure combining GPUs, CPUs, DPUs, interconnects, switch chips, systems and networking.</w:t>
            </w:r>
          </w:p>
        </w:tc>
        <w:tc>
          <w:tcPr>
            <w:tcW w:type="dxa" w:w="2664"/>
            <w:vAlign w:val="top"/>
          </w:tcPr>
          <w:p>
            <w:pPr>
              <w:spacing w:after="0"/>
            </w:pPr>
            <w:r/>
            <w:r>
              <w:rPr>
                <w:rFonts w:ascii="Aptos" w:hAnsi="Aptos"/>
                <w:b w:val="0"/>
                <w:sz w:val="15"/>
              </w:rPr>
              <w:t>Differentiation comes from co-design across the stack rather than a standalone accelerator.</w:t>
            </w:r>
          </w:p>
        </w:tc>
        <w:tc>
          <w:tcPr>
            <w:tcW w:type="dxa" w:w="2664"/>
            <w:vAlign w:val="top"/>
          </w:tcPr>
          <w:p>
            <w:pPr>
              <w:spacing w:after="0"/>
            </w:pPr>
            <w:r/>
            <w:r>
              <w:rPr>
                <w:rFonts w:ascii="Aptos" w:hAnsi="Aptos"/>
                <w:b w:val="0"/>
                <w:sz w:val="15"/>
              </w:rPr>
              <w:t>BUILD</w:t>
            </w:r>
          </w:p>
        </w:tc>
      </w:tr>
      <w:tr>
        <w:tc>
          <w:tcPr>
            <w:tcW w:type="dxa" w:w="2664"/>
            <w:vAlign w:val="top"/>
          </w:tcPr>
          <w:p>
            <w:pPr>
              <w:spacing w:after="0"/>
            </w:pPr>
            <w:r/>
            <w:r>
              <w:rPr>
                <w:rFonts w:ascii="Aptos" w:hAnsi="Aptos"/>
                <w:b w:val="0"/>
                <w:sz w:val="15"/>
              </w:rPr>
              <w:t>Networking</w:t>
            </w:r>
          </w:p>
        </w:tc>
        <w:tc>
          <w:tcPr>
            <w:tcW w:type="dxa" w:w="2664"/>
            <w:vAlign w:val="top"/>
          </w:tcPr>
          <w:p>
            <w:pPr>
              <w:spacing w:after="0"/>
            </w:pPr>
            <w:r/>
            <w:r>
              <w:rPr>
                <w:rFonts w:ascii="Aptos" w:hAnsi="Aptos"/>
                <w:b w:val="0"/>
                <w:sz w:val="15"/>
              </w:rPr>
              <w:t>Mellanox acquisition completed Apr. 27, 2020 for $7B. FY2026 Networking revenue reached $31.376B vs. $12.990B FY2025.</w:t>
            </w:r>
          </w:p>
        </w:tc>
        <w:tc>
          <w:tcPr>
            <w:tcW w:type="dxa" w:w="2664"/>
            <w:vAlign w:val="top"/>
          </w:tcPr>
          <w:p>
            <w:pPr>
              <w:spacing w:after="0"/>
            </w:pPr>
            <w:r/>
            <w:r>
              <w:rPr>
                <w:rFonts w:ascii="Aptos" w:hAnsi="Aptos"/>
                <w:b w:val="0"/>
                <w:sz w:val="15"/>
              </w:rPr>
              <w:t>Buying Mellanox closed a key full-stack dependency and turned networking into a major business line.</w:t>
            </w:r>
          </w:p>
        </w:tc>
        <w:tc>
          <w:tcPr>
            <w:tcW w:type="dxa" w:w="2664"/>
            <w:vAlign w:val="top"/>
          </w:tcPr>
          <w:p>
            <w:pPr>
              <w:spacing w:after="0"/>
            </w:pPr>
            <w:r/>
            <w:r>
              <w:rPr>
                <w:rFonts w:ascii="Aptos" w:hAnsi="Aptos"/>
                <w:b w:val="0"/>
                <w:sz w:val="15"/>
              </w:rPr>
              <w:t>BUY</w:t>
            </w:r>
          </w:p>
        </w:tc>
      </w:tr>
      <w:tr>
        <w:tc>
          <w:tcPr>
            <w:tcW w:type="dxa" w:w="2664"/>
            <w:vAlign w:val="top"/>
          </w:tcPr>
          <w:p>
            <w:pPr>
              <w:spacing w:after="0"/>
            </w:pPr>
            <w:r/>
            <w:r>
              <w:rPr>
                <w:rFonts w:ascii="Aptos" w:hAnsi="Aptos"/>
                <w:b w:val="0"/>
                <w:sz w:val="15"/>
              </w:rPr>
              <w:t>Manufacturing / supply</w:t>
            </w:r>
          </w:p>
        </w:tc>
        <w:tc>
          <w:tcPr>
            <w:tcW w:type="dxa" w:w="2664"/>
            <w:vAlign w:val="top"/>
          </w:tcPr>
          <w:p>
            <w:pPr>
              <w:spacing w:after="0"/>
            </w:pPr>
            <w:r/>
            <w:r>
              <w:rPr>
                <w:rFonts w:ascii="Aptos" w:hAnsi="Aptos"/>
                <w:b w:val="0"/>
                <w:sz w:val="15"/>
              </w:rPr>
              <w:t>FY2026 10-K: NVIDIA uses TSMC and Samsung for wafers, SK Hynix/Micron/Samsung for memory, CoWoS packaging, and contract manufacturers including Hon Hai, Wistron and Fabrinet.</w:t>
            </w:r>
          </w:p>
        </w:tc>
        <w:tc>
          <w:tcPr>
            <w:tcW w:type="dxa" w:w="2664"/>
            <w:vAlign w:val="top"/>
          </w:tcPr>
          <w:p>
            <w:pPr>
              <w:spacing w:after="0"/>
            </w:pPr>
            <w:r/>
            <w:r>
              <w:rPr>
                <w:rFonts w:ascii="Aptos" w:hAnsi="Aptos"/>
                <w:b w:val="0"/>
                <w:sz w:val="15"/>
              </w:rPr>
              <w:t>NVIDIA owns architecture/software but partners for capital-intensive fabrication and assembly.</w:t>
            </w:r>
          </w:p>
        </w:tc>
        <w:tc>
          <w:tcPr>
            <w:tcW w:type="dxa" w:w="2664"/>
            <w:vAlign w:val="top"/>
          </w:tcPr>
          <w:p>
            <w:pPr>
              <w:spacing w:after="0"/>
            </w:pPr>
            <w:r/>
            <w:r>
              <w:rPr>
                <w:rFonts w:ascii="Aptos" w:hAnsi="Aptos"/>
                <w:b w:val="0"/>
                <w:sz w:val="15"/>
              </w:rPr>
              <w:t>PARTNER</w:t>
            </w:r>
          </w:p>
        </w:tc>
      </w:tr>
      <w:tr>
        <w:tc>
          <w:tcPr>
            <w:tcW w:type="dxa" w:w="2664"/>
            <w:vAlign w:val="top"/>
          </w:tcPr>
          <w:p>
            <w:pPr>
              <w:spacing w:after="0"/>
            </w:pPr>
            <w:r/>
            <w:r>
              <w:rPr>
                <w:rFonts w:ascii="Aptos" w:hAnsi="Aptos"/>
                <w:b w:val="0"/>
                <w:sz w:val="15"/>
              </w:rPr>
              <w:t>Competitive substitute risk</w:t>
            </w:r>
          </w:p>
        </w:tc>
        <w:tc>
          <w:tcPr>
            <w:tcW w:type="dxa" w:w="2664"/>
            <w:vAlign w:val="top"/>
          </w:tcPr>
          <w:p>
            <w:pPr>
              <w:spacing w:after="0"/>
            </w:pPr>
            <w:r/>
            <w:r>
              <w:rPr>
                <w:rFonts w:ascii="Aptos" w:hAnsi="Aptos"/>
                <w:b w:val="0"/>
                <w:sz w:val="15"/>
              </w:rPr>
              <w:t>FY2026 10-K says some customers have in-house expertise and internal development capabilities similar to NVIDIA and can develop their own replacement solutions.</w:t>
            </w:r>
          </w:p>
        </w:tc>
        <w:tc>
          <w:tcPr>
            <w:tcW w:type="dxa" w:w="2664"/>
            <w:vAlign w:val="top"/>
          </w:tcPr>
          <w:p>
            <w:pPr>
              <w:spacing w:after="0"/>
            </w:pPr>
            <w:r/>
            <w:r>
              <w:rPr>
                <w:rFonts w:ascii="Aptos" w:hAnsi="Aptos"/>
                <w:b w:val="0"/>
                <w:sz w:val="15"/>
              </w:rPr>
              <w:t>The same sophisticated customers that buy NVIDIA can also weaken the moat over time.</w:t>
            </w:r>
          </w:p>
        </w:tc>
        <w:tc>
          <w:tcPr>
            <w:tcW w:type="dxa" w:w="2664"/>
            <w:vAlign w:val="top"/>
          </w:tcPr>
          <w:p>
            <w:pPr>
              <w:spacing w:after="0"/>
            </w:pPr>
            <w:r/>
            <w:r>
              <w:rPr>
                <w:rFonts w:ascii="Aptos" w:hAnsi="Aptos"/>
                <w:b w:val="0"/>
                <w:sz w:val="15"/>
              </w:rPr>
              <w:t>Binding external threat</w:t>
            </w:r>
          </w:p>
        </w:tc>
      </w:tr>
    </w:tbl>
    <w:p>
      <w:pPr>
        <w:pStyle w:val="Heading2"/>
      </w:pPr>
      <w:r>
        <w:t>6. H1 / H2 / H3 Portfolio Placement</w:t>
      </w:r>
    </w:p>
    <w:tbl>
      <w:tblPr>
        <w:tblStyle w:val="TableGrid"/>
        <w:tblW w:type="auto" w:w="0"/>
        <w:tblLook w:firstColumn="1" w:firstRow="1" w:lastColumn="0" w:lastRow="0" w:noHBand="0" w:noVBand="1" w:val="04A0"/>
      </w:tblPr>
      <w:tblGrid>
        <w:gridCol w:w="2664"/>
        <w:gridCol w:w="2664"/>
        <w:gridCol w:w="2664"/>
        <w:gridCol w:w="2664"/>
      </w:tblGrid>
      <w:tr>
        <w:tc>
          <w:tcPr>
            <w:tcW w:type="dxa" w:w="2664"/>
            <w:vAlign w:val="top"/>
            <w:shd w:fill="17365D"/>
          </w:tcPr>
          <w:p>
            <w:pPr>
              <w:spacing w:after="0"/>
            </w:pPr>
            <w:r/>
            <w:r>
              <w:rPr>
                <w:rFonts w:ascii="Aptos" w:hAnsi="Aptos"/>
                <w:b/>
                <w:color w:val="FFFFFF"/>
                <w:sz w:val="16"/>
              </w:rPr>
              <w:t>Horizon</w:t>
            </w:r>
          </w:p>
        </w:tc>
        <w:tc>
          <w:tcPr>
            <w:tcW w:type="dxa" w:w="2664"/>
            <w:vAlign w:val="top"/>
            <w:shd w:fill="17365D"/>
          </w:tcPr>
          <w:p>
            <w:pPr>
              <w:spacing w:after="0"/>
            </w:pPr>
            <w:r/>
            <w:r>
              <w:rPr>
                <w:rFonts w:ascii="Aptos" w:hAnsi="Aptos"/>
                <w:b/>
                <w:color w:val="FFFFFF"/>
                <w:sz w:val="16"/>
              </w:rPr>
              <w:t>NVIDIA portfolio</w:t>
            </w:r>
          </w:p>
        </w:tc>
        <w:tc>
          <w:tcPr>
            <w:tcW w:type="dxa" w:w="2664"/>
            <w:vAlign w:val="top"/>
            <w:shd w:fill="17365D"/>
          </w:tcPr>
          <w:p>
            <w:pPr>
              <w:spacing w:after="0"/>
            </w:pPr>
            <w:r/>
            <w:r>
              <w:rPr>
                <w:rFonts w:ascii="Aptos" w:hAnsi="Aptos"/>
                <w:b/>
                <w:color w:val="FFFFFF"/>
                <w:sz w:val="16"/>
              </w:rPr>
              <w:t>Why it fits</w:t>
            </w:r>
          </w:p>
        </w:tc>
        <w:tc>
          <w:tcPr>
            <w:tcW w:type="dxa" w:w="2664"/>
            <w:vAlign w:val="top"/>
            <w:shd w:fill="17365D"/>
          </w:tcPr>
          <w:p>
            <w:pPr>
              <w:spacing w:after="0"/>
            </w:pPr>
            <w:r/>
            <w:r>
              <w:rPr>
                <w:rFonts w:ascii="Aptos" w:hAnsi="Aptos"/>
                <w:b/>
                <w:color w:val="FFFFFF"/>
                <w:sz w:val="16"/>
              </w:rPr>
              <w:t>Evidence status</w:t>
            </w:r>
          </w:p>
        </w:tc>
      </w:tr>
      <w:tr>
        <w:tc>
          <w:tcPr>
            <w:tcW w:type="dxa" w:w="2664"/>
            <w:vAlign w:val="top"/>
          </w:tcPr>
          <w:p>
            <w:pPr>
              <w:spacing w:after="0"/>
            </w:pPr>
            <w:r/>
            <w:r>
              <w:rPr>
                <w:rFonts w:ascii="Aptos" w:hAnsi="Aptos"/>
                <w:b w:val="0"/>
                <w:sz w:val="15"/>
              </w:rPr>
              <w:t>H1 — Core / current engine</w:t>
            </w:r>
          </w:p>
        </w:tc>
        <w:tc>
          <w:tcPr>
            <w:tcW w:type="dxa" w:w="2664"/>
            <w:vAlign w:val="top"/>
          </w:tcPr>
          <w:p>
            <w:pPr>
              <w:spacing w:after="0"/>
            </w:pPr>
            <w:r/>
            <w:r>
              <w:rPr>
                <w:rFonts w:ascii="Aptos" w:hAnsi="Aptos"/>
                <w:b w:val="0"/>
                <w:sz w:val="15"/>
              </w:rPr>
              <w:t>Data-center AI systems: Blackwell/Rubin compute, CUDA, NVLink and networking</w:t>
            </w:r>
          </w:p>
        </w:tc>
        <w:tc>
          <w:tcPr>
            <w:tcW w:type="dxa" w:w="2664"/>
            <w:vAlign w:val="top"/>
          </w:tcPr>
          <w:p>
            <w:pPr>
              <w:spacing w:after="0"/>
            </w:pPr>
            <w:r/>
            <w:r>
              <w:rPr>
                <w:rFonts w:ascii="Aptos" w:hAnsi="Aptos"/>
                <w:b w:val="0"/>
                <w:sz w:val="15"/>
              </w:rPr>
              <w:t>These are today's dominant revenue and deployment engines; Data Center represented ~89.7% of FY2026 revenue.</w:t>
            </w:r>
          </w:p>
        </w:tc>
        <w:tc>
          <w:tcPr>
            <w:tcW w:type="dxa" w:w="2664"/>
            <w:vAlign w:val="top"/>
          </w:tcPr>
          <w:p>
            <w:pPr>
              <w:spacing w:after="0"/>
            </w:pPr>
            <w:r/>
            <w:r>
              <w:rPr>
                <w:rFonts w:ascii="Aptos" w:hAnsi="Aptos"/>
                <w:b w:val="0"/>
                <w:sz w:val="15"/>
              </w:rPr>
              <w:t>Strong primary evidence</w:t>
            </w:r>
          </w:p>
        </w:tc>
      </w:tr>
      <w:tr>
        <w:tc>
          <w:tcPr>
            <w:tcW w:type="dxa" w:w="2664"/>
            <w:vAlign w:val="top"/>
          </w:tcPr>
          <w:p>
            <w:pPr>
              <w:spacing w:after="0"/>
            </w:pPr>
            <w:r/>
            <w:r>
              <w:rPr>
                <w:rFonts w:ascii="Aptos" w:hAnsi="Aptos"/>
                <w:b w:val="0"/>
                <w:sz w:val="15"/>
              </w:rPr>
              <w:t>H2 — Adjacent growth</w:t>
            </w:r>
          </w:p>
        </w:tc>
        <w:tc>
          <w:tcPr>
            <w:tcW w:type="dxa" w:w="2664"/>
            <w:vAlign w:val="top"/>
          </w:tcPr>
          <w:p>
            <w:pPr>
              <w:spacing w:after="0"/>
            </w:pPr>
            <w:r/>
            <w:r>
              <w:rPr>
                <w:rFonts w:ascii="Aptos" w:hAnsi="Aptos"/>
                <w:b w:val="0"/>
                <w:sz w:val="15"/>
              </w:rPr>
              <w:t>Enterprise software and services, DGX Cloud, networking expansion, sovereign/enterprise AI</w:t>
            </w:r>
          </w:p>
        </w:tc>
        <w:tc>
          <w:tcPr>
            <w:tcW w:type="dxa" w:w="2664"/>
            <w:vAlign w:val="top"/>
          </w:tcPr>
          <w:p>
            <w:pPr>
              <w:spacing w:after="0"/>
            </w:pPr>
            <w:r/>
            <w:r>
              <w:rPr>
                <w:rFonts w:ascii="Aptos" w:hAnsi="Aptos"/>
                <w:b w:val="0"/>
                <w:sz w:val="15"/>
              </w:rPr>
              <w:t>Extends the installed compute base into recurring software/services and broader infrastructure value capture.</w:t>
            </w:r>
          </w:p>
        </w:tc>
        <w:tc>
          <w:tcPr>
            <w:tcW w:type="dxa" w:w="2664"/>
            <w:vAlign w:val="top"/>
          </w:tcPr>
          <w:p>
            <w:pPr>
              <w:spacing w:after="0"/>
            </w:pPr>
            <w:r/>
            <w:r>
              <w:rPr>
                <w:rFonts w:ascii="Aptos" w:hAnsi="Aptos"/>
                <w:b w:val="0"/>
                <w:sz w:val="15"/>
              </w:rPr>
              <w:t>Strong existence evidence; revenue mix less transparent</w:t>
            </w:r>
          </w:p>
        </w:tc>
      </w:tr>
      <w:tr>
        <w:tc>
          <w:tcPr>
            <w:tcW w:type="dxa" w:w="2664"/>
            <w:vAlign w:val="top"/>
          </w:tcPr>
          <w:p>
            <w:pPr>
              <w:spacing w:after="0"/>
            </w:pPr>
            <w:r/>
            <w:r>
              <w:rPr>
                <w:rFonts w:ascii="Aptos" w:hAnsi="Aptos"/>
                <w:b w:val="0"/>
                <w:sz w:val="15"/>
              </w:rPr>
              <w:t>H3 — Longer-horizon bets</w:t>
            </w:r>
          </w:p>
        </w:tc>
        <w:tc>
          <w:tcPr>
            <w:tcW w:type="dxa" w:w="2664"/>
            <w:vAlign w:val="top"/>
          </w:tcPr>
          <w:p>
            <w:pPr>
              <w:spacing w:after="0"/>
            </w:pPr>
            <w:r/>
            <w:r>
              <w:rPr>
                <w:rFonts w:ascii="Aptos" w:hAnsi="Aptos"/>
                <w:b w:val="0"/>
                <w:sz w:val="15"/>
              </w:rPr>
              <w:t>Robotics / physical AI and autonomous driving / DRIVE</w:t>
            </w:r>
          </w:p>
        </w:tc>
        <w:tc>
          <w:tcPr>
            <w:tcW w:type="dxa" w:w="2664"/>
            <w:vAlign w:val="top"/>
          </w:tcPr>
          <w:p>
            <w:pPr>
              <w:spacing w:after="0"/>
            </w:pPr>
            <w:r/>
            <w:r>
              <w:rPr>
                <w:rFonts w:ascii="Aptos" w:hAnsi="Aptos"/>
                <w:b w:val="0"/>
                <w:sz w:val="15"/>
              </w:rPr>
              <w:t>These businesses extend accelerated computing beyond current data-center demand into new machine/edge domains.</w:t>
            </w:r>
          </w:p>
        </w:tc>
        <w:tc>
          <w:tcPr>
            <w:tcW w:type="dxa" w:w="2664"/>
            <w:vAlign w:val="top"/>
          </w:tcPr>
          <w:p>
            <w:pPr>
              <w:spacing w:after="0"/>
            </w:pPr>
            <w:r/>
            <w:r>
              <w:rPr>
                <w:rFonts w:ascii="Aptos" w:hAnsi="Aptos"/>
                <w:b w:val="0"/>
                <w:sz w:val="15"/>
              </w:rPr>
              <w:t>Primary evidence; future economics still uncertain</w:t>
            </w:r>
          </w:p>
        </w:tc>
      </w:tr>
    </w:tbl>
    <w:p>
      <w:pPr>
        <w:pStyle w:val="Heading1"/>
      </w:pPr>
      <w:r>
        <w:t>7. Framework 5 — Digital Maturity</w:t>
      </w:r>
    </w:p>
    <w:p>
      <w:r>
        <w:rPr>
          <w:b/>
          <w:color w:val="9C0006"/>
        </w:rPr>
      </w:r>
      <w:r/>
      <w:r>
        <w:rPr>
          <w:rFonts w:ascii="Aptos" w:hAnsi="Aptos"/>
          <w:b/>
          <w:color w:val="17365D"/>
          <w:sz w:val="19"/>
        </w:rPr>
        <w:t xml:space="preserve">Course labels confirmed: </w:t>
      </w:r>
      <w:r>
        <w:rPr>
          <w:rFonts w:ascii="Aptos" w:hAnsi="Aptos"/>
          <w:sz w:val="19"/>
        </w:rPr>
        <w:t>the five Week 5 dimensions are Strategy &amp; Leadership, Culture &amp; Talent, Technology &amp; Infrastructure, Operations &amp; Processes, and Customer Experience. Scores below use the course's Stage 1–5 definitions rather than a custom scale.</w:t>
      </w:r>
    </w:p>
    <w:p>
      <w:r>
        <w:rPr>
          <w:b/>
        </w:rPr>
      </w:r>
      <w:r/>
      <w:r>
        <w:rPr>
          <w:rFonts w:ascii="Aptos" w:hAnsi="Aptos"/>
          <w:sz w:val="19"/>
        </w:rPr>
        <w:t>Final maturity verdict: NVIDIA is a Stage 4–5 digital organization overall, averaging 4.4/5. Strategy &amp; Leadership and Technology &amp; Infrastructure reach Stage 5; Culture &amp; Talent, Operations &amp; Processes, and Customer Experience are best supported at Stage 4 from public evidence.</w:t>
      </w:r>
    </w:p>
    <w:tbl>
      <w:tblPr>
        <w:tblStyle w:val="TableGrid"/>
        <w:tblW w:type="auto" w:w="0"/>
        <w:tblLook w:firstColumn="1" w:firstRow="1" w:lastColumn="0" w:lastRow="0" w:noHBand="0" w:noVBand="1" w:val="04A0"/>
      </w:tblPr>
      <w:tblGrid>
        <w:gridCol w:w="2664"/>
        <w:gridCol w:w="2664"/>
        <w:gridCol w:w="2664"/>
        <w:gridCol w:w="2664"/>
      </w:tblGrid>
      <w:tr>
        <w:tc>
          <w:tcPr>
            <w:tcW w:type="dxa" w:w="2664"/>
            <w:vAlign w:val="top"/>
            <w:shd w:fill="17365D"/>
          </w:tcPr>
          <w:p>
            <w:pPr>
              <w:spacing w:after="0"/>
            </w:pPr>
            <w:r/>
            <w:r>
              <w:rPr>
                <w:rFonts w:ascii="Aptos" w:hAnsi="Aptos"/>
                <w:b/>
                <w:color w:val="FFFFFF"/>
                <w:sz w:val="16"/>
              </w:rPr>
              <w:t>Week 5 Dimension</w:t>
            </w:r>
          </w:p>
        </w:tc>
        <w:tc>
          <w:tcPr>
            <w:tcW w:type="dxa" w:w="2664"/>
            <w:vAlign w:val="top"/>
            <w:shd w:fill="17365D"/>
          </w:tcPr>
          <w:p>
            <w:pPr>
              <w:spacing w:after="0"/>
            </w:pPr>
            <w:r/>
            <w:r>
              <w:rPr>
                <w:rFonts w:ascii="Aptos" w:hAnsi="Aptos"/>
                <w:b/>
                <w:color w:val="FFFFFF"/>
                <w:sz w:val="16"/>
              </w:rPr>
              <w:t>Score</w:t>
            </w:r>
          </w:p>
        </w:tc>
        <w:tc>
          <w:tcPr>
            <w:tcW w:type="dxa" w:w="2664"/>
            <w:vAlign w:val="top"/>
            <w:shd w:fill="17365D"/>
          </w:tcPr>
          <w:p>
            <w:pPr>
              <w:spacing w:after="0"/>
            </w:pPr>
            <w:r/>
            <w:r>
              <w:rPr>
                <w:rFonts w:ascii="Aptos" w:hAnsi="Aptos"/>
                <w:b/>
                <w:color w:val="FFFFFF"/>
                <w:sz w:val="16"/>
              </w:rPr>
              <w:t>Stage</w:t>
            </w:r>
          </w:p>
        </w:tc>
        <w:tc>
          <w:tcPr>
            <w:tcW w:type="dxa" w:w="2664"/>
            <w:vAlign w:val="top"/>
            <w:shd w:fill="17365D"/>
          </w:tcPr>
          <w:p>
            <w:pPr>
              <w:spacing w:after="0"/>
            </w:pPr>
            <w:r/>
            <w:r>
              <w:rPr>
                <w:rFonts w:ascii="Aptos" w:hAnsi="Aptos"/>
                <w:b/>
                <w:color w:val="FFFFFF"/>
                <w:sz w:val="16"/>
              </w:rPr>
              <w:t>Evidence &amp; rationale</w:t>
            </w:r>
          </w:p>
        </w:tc>
      </w:tr>
      <w:tr>
        <w:tc>
          <w:tcPr>
            <w:tcW w:type="dxa" w:w="2664"/>
            <w:vAlign w:val="top"/>
          </w:tcPr>
          <w:p>
            <w:pPr>
              <w:spacing w:after="0"/>
            </w:pPr>
            <w:r/>
            <w:r>
              <w:rPr>
                <w:rFonts w:ascii="Aptos" w:hAnsi="Aptos"/>
                <w:b w:val="0"/>
                <w:sz w:val="14"/>
              </w:rPr>
              <w:t>Strategy &amp; Leadership</w:t>
            </w:r>
          </w:p>
        </w:tc>
        <w:tc>
          <w:tcPr>
            <w:tcW w:type="dxa" w:w="2664"/>
            <w:vAlign w:val="top"/>
          </w:tcPr>
          <w:p>
            <w:pPr>
              <w:spacing w:after="0"/>
            </w:pPr>
            <w:r/>
            <w:r>
              <w:rPr>
                <w:rFonts w:ascii="Aptos" w:hAnsi="Aptos"/>
                <w:b w:val="0"/>
                <w:sz w:val="14"/>
              </w:rPr>
              <w:t>5 / 5</w:t>
            </w:r>
          </w:p>
        </w:tc>
        <w:tc>
          <w:tcPr>
            <w:tcW w:type="dxa" w:w="2664"/>
            <w:vAlign w:val="top"/>
          </w:tcPr>
          <w:p>
            <w:pPr>
              <w:spacing w:after="0"/>
            </w:pPr>
            <w:r/>
            <w:r>
              <w:rPr>
                <w:rFonts w:ascii="Aptos" w:hAnsi="Aptos"/>
                <w:b w:val="0"/>
                <w:sz w:val="14"/>
              </w:rPr>
              <w:t>Stage 5 — Optimizing / Innovating</w:t>
            </w:r>
          </w:p>
        </w:tc>
        <w:tc>
          <w:tcPr>
            <w:tcW w:type="dxa" w:w="2664"/>
            <w:vAlign w:val="top"/>
          </w:tcPr>
          <w:p>
            <w:pPr>
              <w:spacing w:after="0"/>
            </w:pPr>
            <w:r/>
            <w:r>
              <w:rPr>
                <w:rFonts w:ascii="Aptos" w:hAnsi="Aptos"/>
                <w:b w:val="0"/>
                <w:sz w:val="14"/>
              </w:rPr>
              <w:t>NVIDIA sustained a multi-decade accelerated-computing strategy, built CUDA before the current AI boom, and now defines itself as a data-center-scale AI infrastructure company. Leadership continues to fund rapid architecture cycles and ecosystem expansion.</w:t>
            </w:r>
          </w:p>
        </w:tc>
      </w:tr>
      <w:tr>
        <w:tc>
          <w:tcPr>
            <w:tcW w:type="dxa" w:w="2664"/>
            <w:vAlign w:val="top"/>
          </w:tcPr>
          <w:p>
            <w:pPr>
              <w:spacing w:after="0"/>
            </w:pPr>
            <w:r/>
            <w:r>
              <w:rPr>
                <w:rFonts w:ascii="Aptos" w:hAnsi="Aptos"/>
                <w:b w:val="0"/>
                <w:sz w:val="14"/>
              </w:rPr>
              <w:t>Culture &amp; Talent</w:t>
            </w:r>
          </w:p>
        </w:tc>
        <w:tc>
          <w:tcPr>
            <w:tcW w:type="dxa" w:w="2664"/>
            <w:vAlign w:val="top"/>
          </w:tcPr>
          <w:p>
            <w:pPr>
              <w:spacing w:after="0"/>
            </w:pPr>
            <w:r/>
            <w:r>
              <w:rPr>
                <w:rFonts w:ascii="Aptos" w:hAnsi="Aptos"/>
                <w:b w:val="0"/>
                <w:sz w:val="14"/>
              </w:rPr>
              <w:t>4 / 5</w:t>
            </w:r>
          </w:p>
        </w:tc>
        <w:tc>
          <w:tcPr>
            <w:tcW w:type="dxa" w:w="2664"/>
            <w:vAlign w:val="top"/>
          </w:tcPr>
          <w:p>
            <w:pPr>
              <w:spacing w:after="0"/>
            </w:pPr>
            <w:r/>
            <w:r>
              <w:rPr>
                <w:rFonts w:ascii="Aptos" w:hAnsi="Aptos"/>
                <w:b w:val="0"/>
                <w:sz w:val="14"/>
              </w:rPr>
              <w:t>Stage 4 — Managed / Measured</w:t>
            </w:r>
          </w:p>
        </w:tc>
        <w:tc>
          <w:tcPr>
            <w:tcW w:type="dxa" w:w="2664"/>
            <w:vAlign w:val="top"/>
          </w:tcPr>
          <w:p>
            <w:pPr>
              <w:spacing w:after="0"/>
            </w:pPr>
            <w:r/>
            <w:r>
              <w:rPr>
                <w:rFonts w:ascii="Aptos" w:hAnsi="Aptos"/>
                <w:b w:val="0"/>
                <w:sz w:val="14"/>
              </w:rPr>
              <w:t>FY2026 R&amp;D expense was $18.497B (+43%), and NVIDIA reports more than 7.5M developers using CUDA and other software tools. Public evidence shows deep technical talent and institutionalized engineering capability, but not enough enterprise-wide workforce evidence to justify Stage 5.</w:t>
            </w:r>
          </w:p>
        </w:tc>
      </w:tr>
      <w:tr>
        <w:tc>
          <w:tcPr>
            <w:tcW w:type="dxa" w:w="2664"/>
            <w:vAlign w:val="top"/>
          </w:tcPr>
          <w:p>
            <w:pPr>
              <w:spacing w:after="0"/>
            </w:pPr>
            <w:r/>
            <w:r>
              <w:rPr>
                <w:rFonts w:ascii="Aptos" w:hAnsi="Aptos"/>
                <w:b w:val="0"/>
                <w:sz w:val="14"/>
              </w:rPr>
              <w:t>Technology &amp; Infrastructure</w:t>
            </w:r>
          </w:p>
        </w:tc>
        <w:tc>
          <w:tcPr>
            <w:tcW w:type="dxa" w:w="2664"/>
            <w:vAlign w:val="top"/>
          </w:tcPr>
          <w:p>
            <w:pPr>
              <w:spacing w:after="0"/>
            </w:pPr>
            <w:r/>
            <w:r>
              <w:rPr>
                <w:rFonts w:ascii="Aptos" w:hAnsi="Aptos"/>
                <w:b w:val="0"/>
                <w:sz w:val="14"/>
              </w:rPr>
              <w:t>5 / 5</w:t>
            </w:r>
          </w:p>
        </w:tc>
        <w:tc>
          <w:tcPr>
            <w:tcW w:type="dxa" w:w="2664"/>
            <w:vAlign w:val="top"/>
          </w:tcPr>
          <w:p>
            <w:pPr>
              <w:spacing w:after="0"/>
            </w:pPr>
            <w:r/>
            <w:r>
              <w:rPr>
                <w:rFonts w:ascii="Aptos" w:hAnsi="Aptos"/>
                <w:b w:val="0"/>
                <w:sz w:val="14"/>
              </w:rPr>
              <w:t>Stage 5 — Optimizing / Innovating</w:t>
            </w:r>
          </w:p>
        </w:tc>
        <w:tc>
          <w:tcPr>
            <w:tcW w:type="dxa" w:w="2664"/>
            <w:vAlign w:val="top"/>
          </w:tcPr>
          <w:p>
            <w:pPr>
              <w:spacing w:after="0"/>
            </w:pPr>
            <w:r/>
            <w:r>
              <w:rPr>
                <w:rFonts w:ascii="Aptos" w:hAnsi="Aptos"/>
                <w:b w:val="0"/>
                <w:sz w:val="14"/>
              </w:rPr>
              <w:t>CUDA, hundreds of libraries/SDKs, GPUs, CPUs, DPUs, NVLink, networking and systems are co-designed as one full stack. NVIDIA iterates architecture rapidly and integrates compute, networking and software rather than treating them as separate projects.</w:t>
            </w:r>
          </w:p>
        </w:tc>
      </w:tr>
      <w:tr>
        <w:tc>
          <w:tcPr>
            <w:tcW w:type="dxa" w:w="2664"/>
            <w:vAlign w:val="top"/>
          </w:tcPr>
          <w:p>
            <w:pPr>
              <w:spacing w:after="0"/>
            </w:pPr>
            <w:r/>
            <w:r>
              <w:rPr>
                <w:rFonts w:ascii="Aptos" w:hAnsi="Aptos"/>
                <w:b w:val="0"/>
                <w:sz w:val="14"/>
              </w:rPr>
              <w:t>Operations &amp; Processes</w:t>
            </w:r>
          </w:p>
        </w:tc>
        <w:tc>
          <w:tcPr>
            <w:tcW w:type="dxa" w:w="2664"/>
            <w:vAlign w:val="top"/>
          </w:tcPr>
          <w:p>
            <w:pPr>
              <w:spacing w:after="0"/>
            </w:pPr>
            <w:r/>
            <w:r>
              <w:rPr>
                <w:rFonts w:ascii="Aptos" w:hAnsi="Aptos"/>
                <w:b w:val="0"/>
                <w:sz w:val="14"/>
              </w:rPr>
              <w:t>4 / 5</w:t>
            </w:r>
          </w:p>
        </w:tc>
        <w:tc>
          <w:tcPr>
            <w:tcW w:type="dxa" w:w="2664"/>
            <w:vAlign w:val="top"/>
          </w:tcPr>
          <w:p>
            <w:pPr>
              <w:spacing w:after="0"/>
            </w:pPr>
            <w:r/>
            <w:r>
              <w:rPr>
                <w:rFonts w:ascii="Aptos" w:hAnsi="Aptos"/>
                <w:b w:val="0"/>
                <w:sz w:val="14"/>
              </w:rPr>
              <w:t>Stage 4 — Managed / Measured</w:t>
            </w:r>
          </w:p>
        </w:tc>
        <w:tc>
          <w:tcPr>
            <w:tcW w:type="dxa" w:w="2664"/>
            <w:vAlign w:val="top"/>
          </w:tcPr>
          <w:p>
            <w:r>
              <w:t>NVIDIA has scaled Data Center revenue to $193.737B in FY2026 and coordinates a complex global supplier network. Public evidence supports managed, measured execution, but does not establish Stage 5 continuous optimization across end-to-end operations. Reliance on foundries, memory, advanced packaging and contract manufacturers is a structural supply-chain vulnerability, not by itself evidence of lower operational maturity.</w:t>
            </w:r>
          </w:p>
        </w:tc>
      </w:tr>
      <w:tr>
        <w:tc>
          <w:tcPr>
            <w:tcW w:type="dxa" w:w="2664"/>
            <w:vAlign w:val="top"/>
          </w:tcPr>
          <w:p>
            <w:pPr>
              <w:spacing w:after="0"/>
            </w:pPr>
            <w:r/>
            <w:r>
              <w:rPr>
                <w:rFonts w:ascii="Aptos" w:hAnsi="Aptos"/>
                <w:b w:val="0"/>
                <w:sz w:val="14"/>
              </w:rPr>
              <w:t>Customer Experience</w:t>
            </w:r>
          </w:p>
        </w:tc>
        <w:tc>
          <w:tcPr>
            <w:tcW w:type="dxa" w:w="2664"/>
            <w:vAlign w:val="top"/>
          </w:tcPr>
          <w:p>
            <w:pPr>
              <w:spacing w:after="0"/>
            </w:pPr>
            <w:r/>
            <w:r>
              <w:rPr>
                <w:rFonts w:ascii="Aptos" w:hAnsi="Aptos"/>
                <w:b w:val="0"/>
                <w:sz w:val="14"/>
              </w:rPr>
              <w:t>4 / 5</w:t>
            </w:r>
          </w:p>
        </w:tc>
        <w:tc>
          <w:tcPr>
            <w:tcW w:type="dxa" w:w="2664"/>
            <w:vAlign w:val="top"/>
          </w:tcPr>
          <w:p>
            <w:pPr>
              <w:spacing w:after="0"/>
            </w:pPr>
            <w:r/>
            <w:r>
              <w:rPr>
                <w:rFonts w:ascii="Aptos" w:hAnsi="Aptos"/>
                <w:b w:val="0"/>
                <w:sz w:val="14"/>
              </w:rPr>
              <w:t>Stage 4 — Managed / Measured</w:t>
            </w:r>
          </w:p>
        </w:tc>
        <w:tc>
          <w:tcPr>
            <w:tcW w:type="dxa" w:w="2664"/>
            <w:vAlign w:val="top"/>
          </w:tcPr>
          <w:p>
            <w:pPr>
              <w:spacing w:after="0"/>
            </w:pPr>
            <w:r/>
            <w:r>
              <w:rPr>
                <w:rFonts w:ascii="Aptos" w:hAnsi="Aptos"/>
                <w:b w:val="0"/>
                <w:sz w:val="14"/>
              </w:rPr>
              <w:t>NVIDIA operates a large developer ecosystem, enterprise software/support model and close design relationships with major customers. Public evidence supports measured ecosystem management, but it does not expose enough journey-level customer metrics or feedback loops to support Stage 5.</w:t>
            </w:r>
          </w:p>
        </w:tc>
      </w:tr>
    </w:tbl>
    <w:p>
      <w:r>
        <w:t>Binding-constraint distinction: Operations &amp; Processes is one of the lowest-scored internal maturity dimensions at 4/5, but supplier dependence should be treated as a structural supply-chain vulnerability rather than proof of weak operations. The central Week 8 binding constraint remains customer concentration combined with customers' ability and incentive to develop substitute accelerators. That constraint sits outside the five-dimension maturity scorecard and should remain identical across Parts 1–4.</w:t>
      </w:r>
    </w:p>
    <w:p>
      <w:pPr>
        <w:pStyle w:val="Heading1"/>
      </w:pPr>
      <w:r>
        <w:t>8. Binding Constraint — Evidence That Customers Can Substitute</w:t>
      </w:r>
    </w:p>
    <w:tbl>
      <w:tblPr>
        <w:tblStyle w:val="TableGrid"/>
        <w:tblW w:type="auto" w:w="0"/>
        <w:tblLook w:firstColumn="1" w:firstRow="1" w:lastColumn="0" w:lastRow="0" w:noHBand="0" w:noVBand="1" w:val="04A0"/>
      </w:tblPr>
      <w:tblGrid>
        <w:gridCol w:w="3552"/>
        <w:gridCol w:w="3552"/>
        <w:gridCol w:w="3552"/>
      </w:tblGrid>
      <w:tr>
        <w:tc>
          <w:tcPr>
            <w:tcW w:type="dxa" w:w="3552"/>
            <w:vAlign w:val="top"/>
            <w:shd w:fill="17365D"/>
          </w:tcPr>
          <w:p>
            <w:pPr>
              <w:spacing w:after="0"/>
            </w:pPr>
            <w:r/>
            <w:r>
              <w:rPr>
                <w:rFonts w:ascii="Aptos" w:hAnsi="Aptos"/>
                <w:b/>
                <w:color w:val="FFFFFF"/>
                <w:sz w:val="16"/>
              </w:rPr>
              <w:t>Substitute</w:t>
            </w:r>
          </w:p>
        </w:tc>
        <w:tc>
          <w:tcPr>
            <w:tcW w:type="dxa" w:w="3552"/>
            <w:vAlign w:val="top"/>
            <w:shd w:fill="17365D"/>
          </w:tcPr>
          <w:p>
            <w:pPr>
              <w:spacing w:after="0"/>
            </w:pPr>
            <w:r/>
            <w:r>
              <w:rPr>
                <w:rFonts w:ascii="Aptos" w:hAnsi="Aptos"/>
                <w:b/>
                <w:color w:val="FFFFFF"/>
                <w:sz w:val="16"/>
              </w:rPr>
              <w:t>Specific evidence</w:t>
            </w:r>
          </w:p>
        </w:tc>
        <w:tc>
          <w:tcPr>
            <w:tcW w:type="dxa" w:w="3552"/>
            <w:vAlign w:val="top"/>
            <w:shd w:fill="17365D"/>
          </w:tcPr>
          <w:p>
            <w:pPr>
              <w:spacing w:after="0"/>
            </w:pPr>
            <w:r/>
            <w:r>
              <w:rPr>
                <w:rFonts w:ascii="Aptos" w:hAnsi="Aptos"/>
                <w:b/>
                <w:color w:val="FFFFFF"/>
                <w:sz w:val="16"/>
              </w:rPr>
              <w:t>Named source</w:t>
            </w:r>
          </w:p>
        </w:tc>
      </w:tr>
      <w:tr>
        <w:tc>
          <w:tcPr>
            <w:tcW w:type="dxa" w:w="3552"/>
            <w:vAlign w:val="top"/>
          </w:tcPr>
          <w:p>
            <w:pPr>
              <w:spacing w:after="0"/>
            </w:pPr>
            <w:r/>
            <w:r>
              <w:rPr>
                <w:rFonts w:ascii="Aptos" w:hAnsi="Aptos"/>
                <w:b w:val="0"/>
                <w:sz w:val="15"/>
              </w:rPr>
              <w:t>Google TPU</w:t>
            </w:r>
          </w:p>
        </w:tc>
        <w:tc>
          <w:tcPr>
            <w:tcW w:type="dxa" w:w="3552"/>
            <w:vAlign w:val="top"/>
          </w:tcPr>
          <w:p>
            <w:pPr>
              <w:spacing w:after="0"/>
            </w:pPr>
            <w:r/>
            <w:r>
              <w:rPr>
                <w:rFonts w:ascii="Aptos" w:hAnsi="Aptos"/>
                <w:b w:val="0"/>
                <w:sz w:val="15"/>
              </w:rPr>
              <w:t>Google said it built a custom ASIC specifically for machine learning and had been running TPUs internally for more than a year by May 2016.</w:t>
            </w:r>
          </w:p>
        </w:tc>
        <w:tc>
          <w:tcPr>
            <w:tcW w:type="dxa" w:w="3552"/>
            <w:vAlign w:val="top"/>
          </w:tcPr>
          <w:p>
            <w:pPr>
              <w:spacing w:after="0"/>
            </w:pPr>
            <w:r/>
            <w:r>
              <w:rPr>
                <w:rFonts w:ascii="Aptos" w:hAnsi="Aptos"/>
                <w:b w:val="0"/>
                <w:sz w:val="15"/>
              </w:rPr>
              <w:t>Google Cloud, “Google supercharges machine learning tasks with TPU custom chip,” May 18, 2016.</w:t>
            </w:r>
          </w:p>
        </w:tc>
      </w:tr>
      <w:tr>
        <w:tc>
          <w:tcPr>
            <w:tcW w:type="dxa" w:w="3552"/>
            <w:vAlign w:val="top"/>
          </w:tcPr>
          <w:p>
            <w:pPr>
              <w:spacing w:after="0"/>
            </w:pPr>
            <w:r/>
            <w:r>
              <w:rPr>
                <w:rFonts w:ascii="Aptos" w:hAnsi="Aptos"/>
                <w:b w:val="0"/>
                <w:sz w:val="15"/>
              </w:rPr>
              <w:t>Meta MTIA</w:t>
            </w:r>
          </w:p>
        </w:tc>
        <w:tc>
          <w:tcPr>
            <w:tcW w:type="dxa" w:w="3552"/>
            <w:vAlign w:val="top"/>
          </w:tcPr>
          <w:p>
            <w:pPr>
              <w:spacing w:after="0"/>
            </w:pPr>
            <w:r/>
            <w:r>
              <w:rPr>
                <w:rFonts w:ascii="Aptos" w:hAnsi="Aptos"/>
                <w:b w:val="0"/>
                <w:sz w:val="15"/>
              </w:rPr>
              <w:t>Meta said GPUs were not always optimal for its recommendation workloads at its scale and designed its own MTIA ASIC family.</w:t>
            </w:r>
          </w:p>
        </w:tc>
        <w:tc>
          <w:tcPr>
            <w:tcW w:type="dxa" w:w="3552"/>
            <w:vAlign w:val="top"/>
          </w:tcPr>
          <w:p>
            <w:pPr>
              <w:spacing w:after="0"/>
            </w:pPr>
            <w:r/>
            <w:r>
              <w:rPr>
                <w:rFonts w:ascii="Aptos" w:hAnsi="Aptos"/>
                <w:b w:val="0"/>
                <w:sz w:val="15"/>
              </w:rPr>
              <w:t>Meta AI, “MTIA v1: Meta’s first-generation AI inference accelerator,” May 18, 2023.</w:t>
            </w:r>
          </w:p>
        </w:tc>
      </w:tr>
      <w:tr>
        <w:tc>
          <w:tcPr>
            <w:tcW w:type="dxa" w:w="3552"/>
            <w:vAlign w:val="top"/>
          </w:tcPr>
          <w:p>
            <w:pPr>
              <w:spacing w:after="0"/>
            </w:pPr>
            <w:r/>
            <w:r>
              <w:rPr>
                <w:rFonts w:ascii="Aptos" w:hAnsi="Aptos"/>
                <w:b w:val="0"/>
                <w:sz w:val="15"/>
              </w:rPr>
              <w:t>OpenAI + Broadcom</w:t>
            </w:r>
          </w:p>
        </w:tc>
        <w:tc>
          <w:tcPr>
            <w:tcW w:type="dxa" w:w="3552"/>
            <w:vAlign w:val="top"/>
          </w:tcPr>
          <w:p>
            <w:pPr>
              <w:spacing w:after="0"/>
            </w:pPr>
            <w:r/>
            <w:r>
              <w:rPr>
                <w:rFonts w:ascii="Aptos" w:hAnsi="Aptos"/>
                <w:b w:val="0"/>
                <w:sz w:val="15"/>
              </w:rPr>
              <w:t>OpenAI and Broadcom announced 10 GW of OpenAI-designed custom AI accelerators, with OpenAI designing accelerators and systems.</w:t>
            </w:r>
          </w:p>
        </w:tc>
        <w:tc>
          <w:tcPr>
            <w:tcW w:type="dxa" w:w="3552"/>
            <w:vAlign w:val="top"/>
          </w:tcPr>
          <w:p>
            <w:pPr>
              <w:spacing w:after="0"/>
            </w:pPr>
            <w:r/>
            <w:r>
              <w:rPr>
                <w:rFonts w:ascii="Aptos" w:hAnsi="Aptos"/>
                <w:b w:val="0"/>
                <w:sz w:val="15"/>
              </w:rPr>
              <w:t>OpenAI, “OpenAI and Broadcom announce strategic collaboration…,” Oct. 13, 2025.</w:t>
            </w:r>
          </w:p>
        </w:tc>
      </w:tr>
    </w:tbl>
    <w:p>
      <w:pPr>
        <w:pStyle w:val="Heading1"/>
      </w:pPr>
      <w:r>
        <w:t>9. Evidence Log Rows 3–5 — Handoff Version</w:t>
      </w:r>
    </w:p>
    <w:tbl>
      <w:tblPr>
        <w:tblStyle w:val="TableGrid"/>
        <w:tblW w:type="auto" w:w="0"/>
        <w:tblLook w:firstColumn="1" w:firstRow="1" w:lastColumn="0" w:lastRow="0" w:noHBand="0" w:noVBand="1" w:val="04A0"/>
      </w:tblPr>
      <w:tblGrid>
        <w:gridCol w:w="2664"/>
        <w:gridCol w:w="2664"/>
        <w:gridCol w:w="2664"/>
        <w:gridCol w:w="2664"/>
      </w:tblGrid>
      <w:tr>
        <w:tc>
          <w:tcPr>
            <w:tcW w:type="dxa" w:w="2664"/>
            <w:vAlign w:val="top"/>
            <w:shd w:fill="17365D"/>
          </w:tcPr>
          <w:p>
            <w:pPr>
              <w:spacing w:after="0"/>
            </w:pPr>
            <w:r/>
            <w:r>
              <w:rPr>
                <w:rFonts w:ascii="Aptos" w:hAnsi="Aptos"/>
                <w:b/>
                <w:color w:val="FFFFFF"/>
                <w:sz w:val="16"/>
              </w:rPr>
              <w:t>Framework</w:t>
            </w:r>
          </w:p>
        </w:tc>
        <w:tc>
          <w:tcPr>
            <w:tcW w:type="dxa" w:w="2664"/>
            <w:vAlign w:val="top"/>
            <w:shd w:fill="17365D"/>
          </w:tcPr>
          <w:p>
            <w:pPr>
              <w:spacing w:after="0"/>
            </w:pPr>
            <w:r/>
            <w:r>
              <w:rPr>
                <w:rFonts w:ascii="Aptos" w:hAnsi="Aptos"/>
                <w:b/>
                <w:color w:val="FFFFFF"/>
                <w:sz w:val="16"/>
              </w:rPr>
              <w:t>Verdict</w:t>
            </w:r>
          </w:p>
        </w:tc>
        <w:tc>
          <w:tcPr>
            <w:tcW w:type="dxa" w:w="2664"/>
            <w:vAlign w:val="top"/>
            <w:shd w:fill="17365D"/>
          </w:tcPr>
          <w:p>
            <w:pPr>
              <w:spacing w:after="0"/>
            </w:pPr>
            <w:r/>
            <w:r>
              <w:rPr>
                <w:rFonts w:ascii="Aptos" w:hAnsi="Aptos"/>
                <w:b/>
                <w:color w:val="FFFFFF"/>
                <w:sz w:val="16"/>
              </w:rPr>
              <w:t>Evidence</w:t>
            </w:r>
          </w:p>
        </w:tc>
        <w:tc>
          <w:tcPr>
            <w:tcW w:type="dxa" w:w="2664"/>
            <w:vAlign w:val="top"/>
            <w:shd w:fill="17365D"/>
          </w:tcPr>
          <w:p>
            <w:pPr>
              <w:spacing w:after="0"/>
            </w:pPr>
            <w:r/>
            <w:r>
              <w:rPr>
                <w:rFonts w:ascii="Aptos" w:hAnsi="Aptos"/>
                <w:b/>
                <w:color w:val="FFFFFF"/>
                <w:sz w:val="16"/>
              </w:rPr>
              <w:t>Source</w:t>
            </w:r>
          </w:p>
        </w:tc>
      </w:tr>
      <w:tr>
        <w:tc>
          <w:tcPr>
            <w:tcW w:type="dxa" w:w="2664"/>
            <w:vAlign w:val="top"/>
          </w:tcPr>
          <w:p>
            <w:pPr>
              <w:spacing w:after="0"/>
            </w:pPr>
            <w:r/>
            <w:r>
              <w:rPr>
                <w:rFonts w:ascii="Aptos" w:hAnsi="Aptos"/>
                <w:b w:val="0"/>
                <w:sz w:val="15"/>
              </w:rPr>
              <w:t>3. Revenue Architecture</w:t>
            </w:r>
          </w:p>
        </w:tc>
        <w:tc>
          <w:tcPr>
            <w:tcW w:type="dxa" w:w="2664"/>
            <w:vAlign w:val="top"/>
          </w:tcPr>
          <w:p>
            <w:r>
              <w:t>Transactional, hardware-dominant revenue with high customer concentration; recurring software exists, but NVIDIA does not separately disclose software revenue at a level that allows its materiality to be determined. CAC:LTV is insufficient public data.</w:t>
            </w:r>
          </w:p>
        </w:tc>
        <w:tc>
          <w:tcPr>
            <w:tcW w:type="dxa" w:w="2664"/>
            <w:vAlign w:val="top"/>
          </w:tcPr>
          <w:p>
            <w:r>
              <w:t>FY2026 revenue was $215.938B; Data Center was $193.737B (89.7%, calc.). One direct customer represented 22% of revenue and another 14%. NVIDIA offers paid NVIDIA AI Enterprise and vGPU licenses, but software revenue is not separately disclosed, so its materiality cannot be determined from public reporting.</w:t>
            </w:r>
          </w:p>
        </w:tc>
        <w:tc>
          <w:tcPr>
            <w:tcW w:type="dxa" w:w="2664"/>
            <w:vAlign w:val="top"/>
          </w:tcPr>
          <w:p>
            <w:r>
              <w:t>NVIDIA FY2026 Form 10-K, filed Feb. 25, 2026: pp. 6, 40, 78. Software/licensing and full-stack platform: p. 6; direct-customer concentration: p. 40; Data Center/Networking revenue: p. 78.</w:t>
            </w:r>
          </w:p>
        </w:tc>
      </w:tr>
      <w:tr>
        <w:tc>
          <w:tcPr>
            <w:tcW w:type="dxa" w:w="2664"/>
            <w:vAlign w:val="top"/>
          </w:tcPr>
          <w:p>
            <w:pPr>
              <w:spacing w:after="0"/>
            </w:pPr>
            <w:r/>
            <w:r>
              <w:rPr>
                <w:rFonts w:ascii="Aptos" w:hAnsi="Aptos"/>
                <w:b w:val="0"/>
                <w:sz w:val="15"/>
              </w:rPr>
              <w:t>4. AI Moats &amp; Portfolio</w:t>
            </w:r>
          </w:p>
        </w:tc>
        <w:tc>
          <w:tcPr>
            <w:tcW w:type="dxa" w:w="2664"/>
            <w:vAlign w:val="top"/>
          </w:tcPr>
          <w:p>
            <w:pPr>
              <w:spacing w:after="0"/>
            </w:pPr>
            <w:r/>
            <w:r>
              <w:rPr>
                <w:rFonts w:ascii="Aptos" w:hAnsi="Aptos"/>
                <w:b w:val="0"/>
                <w:sz w:val="15"/>
              </w:rPr>
              <w:t>The moat is integrated silicon + CUDA/software + networking + systems. NVIDIA builds the core stack, extended it by buying Mellanox, and partners for fabrication and manufacturing.</w:t>
            </w:r>
          </w:p>
        </w:tc>
        <w:tc>
          <w:tcPr>
            <w:tcW w:type="dxa" w:w="2664"/>
            <w:vAlign w:val="top"/>
          </w:tcPr>
          <w:p>
            <w:pPr>
              <w:spacing w:after="0"/>
            </w:pPr>
            <w:r/>
            <w:r>
              <w:rPr>
                <w:rFonts w:ascii="Aptos" w:hAnsi="Aptos"/>
                <w:b w:val="0"/>
                <w:sz w:val="15"/>
              </w:rPr>
              <w:t>FY2026 10-K describes CUDA plus hundreds of libraries/SDKs and 7.5M+ developers; Blackwell co-design spans GPUs, CPUs, DPUs, interconnects, systems and networking. Mellanox was acquired for $7B; FY2026 Networking revenue was $31.376B. NVIDIA uses TSMC/Samsung plus memory, packaging and contract-manufacturing partners.</w:t>
            </w:r>
          </w:p>
        </w:tc>
        <w:tc>
          <w:tcPr>
            <w:tcW w:type="dxa" w:w="2664"/>
            <w:vAlign w:val="top"/>
          </w:tcPr>
          <w:p>
            <w:r>
              <w:t>NVIDIA FY2026 Form 10-K, filed Feb. 25, 2026: pp. 6, 8, 78; NVIDIA, “NVIDIA Completes Acquisition of Mellanox,” Apr. 27, 2020.</w:t>
            </w:r>
          </w:p>
        </w:tc>
      </w:tr>
      <w:tr>
        <w:tc>
          <w:tcPr>
            <w:tcW w:type="dxa" w:w="2664"/>
            <w:vAlign w:val="top"/>
          </w:tcPr>
          <w:p>
            <w:pPr>
              <w:spacing w:after="0"/>
            </w:pPr>
            <w:r/>
            <w:r>
              <w:rPr>
                <w:rFonts w:ascii="Aptos" w:hAnsi="Aptos"/>
                <w:b w:val="0"/>
                <w:sz w:val="15"/>
              </w:rPr>
              <w:t>5. Digital Maturity</w:t>
            </w:r>
          </w:p>
        </w:tc>
        <w:tc>
          <w:tcPr>
            <w:tcW w:type="dxa" w:w="2664"/>
            <w:vAlign w:val="top"/>
          </w:tcPr>
          <w:p>
            <w:r>
              <w:t>Stage 4–5 overall (4.4/5): Strategy &amp; Leadership 5; Culture &amp; Talent 4; Technology &amp; Infrastructure 5; Operations &amp; Processes 4; Customer Experience 4. Operations &amp; Processes is one of the lowest-scored internal dimensions, but supplier dependence is an operational vulnerability rather than the main binding constraint. The central strategic constraint is concentrated customers with the ability and incentive to build substitutes.</w:t>
            </w:r>
          </w:p>
        </w:tc>
        <w:tc>
          <w:tcPr>
            <w:tcW w:type="dxa" w:w="2664"/>
            <w:vAlign w:val="top"/>
          </w:tcPr>
          <w:p>
            <w:r>
              <w:t>FY2026 R&amp;D was $18.497B (+43%); NVIDIA reports 7.5M+ developers and a full-stack architecture spanning compute, networking, systems and software. Data Center revenue reached $193.737B. NVIDIA also relies on external foundries, memory, packaging and contract manufacturers; this is a structural supply-chain vulnerability, not proof of low operational maturity. The top two direct customers represented 36% of FY2026 revenue, and NVIDIA states some customers can develop replacement solutions.</w:t>
            </w:r>
          </w:p>
        </w:tc>
        <w:tc>
          <w:tcPr>
            <w:tcW w:type="dxa" w:w="2664"/>
            <w:vAlign w:val="top"/>
          </w:tcPr>
          <w:p>
            <w:r>
              <w:t>Week 5 Digital Maturity framework, §5.10 + Stage 1–5 scale; NVIDIA FY2026 Form 10-K, filed Feb. 25, 2026: pp. 6, 8, 14, 40, 41, 78.</w:t>
            </w:r>
          </w:p>
        </w:tc>
      </w:tr>
    </w:tbl>
    <w:p>
      <w:pPr>
        <w:pStyle w:val="Heading1"/>
      </w:pPr>
      <w:r>
        <w:t>10. What Task 2 Does to the Team Thesis</w:t>
      </w:r>
    </w:p>
    <w:p>
      <w:pPr>
        <w:pStyle w:val="ListBullet"/>
        <w:spacing w:after="40"/>
      </w:pPr>
      <w:r>
        <w:t>Supports Finding 2: the economic evidence is consistent with value capture beyond simple unit volume. High Data Center mix and very high gross margins coexist with a deep CUDA/software ecosystem.</w:t>
      </w:r>
    </w:p>
    <w:p>
      <w:pPr>
        <w:pStyle w:val="ListBullet"/>
        <w:spacing w:after="40"/>
      </w:pPr>
      <w:r>
        <w:t>Supports Finding 3: concentration is measurable and substitute capability is explicitly acknowledged by NVIDIA's own risk factors.</w:t>
      </w:r>
    </w:p>
    <w:p>
      <w:pPr>
        <w:pStyle w:val="ListBullet"/>
        <w:spacing w:after="40"/>
      </w:pPr>
      <w:r>
        <w:t>Refines the claim: do not say 'software revenue proves the moat.' Public data supports software/ecosystem lock-in, but NVIDIA does not separately disclose software revenue in a way that lets us determine whether it is material to total revenue.</w:t>
      </w:r>
    </w:p>
    <w:p>
      <w:pPr>
        <w:pStyle w:val="ListBullet"/>
        <w:spacing w:after="40"/>
      </w:pPr>
      <w:r>
        <w:t>Keeps an honest alternative explanation alive: high margins can reflect scarcity/product mix as well as lock-in. The final brief should treat the Ecosystem Durability Scorecard as the way management distinguishes those explanations.</w:t>
      </w:r>
    </w:p>
    <w:p>
      <w:pPr>
        <w:pStyle w:val="Heading1"/>
      </w:pPr>
      <w:r>
        <w:t>11. Human Verification Checklist Before PR</w:t>
      </w:r>
    </w:p>
    <w:p>
      <w:pPr>
        <w:pStyle w:val="ListBullet"/>
        <w:spacing w:after="40"/>
      </w:pPr>
      <w:r>
        <w:t>AI-assisted source and page cross-check completed against NVIDIA's FY2026 Form 10-K. Page references used in this package: full-stack software / paid AI Enterprise licenses / 7.5M+ developers (p. 6); manufacturing partners and fabless operating model (p. 8); customer ability to develop replacement solutions (p. 14); direct-customer concentration and gross-margin discussion (p. 40); R&amp;D expense (p. 41); Data Center and Networking revenue table (p. 78). Mahdin must still open the named sources himself before submission to satisfy the course AI-verification requirement.</w:t>
      </w:r>
    </w:p>
    <w:p>
      <w:pPr>
        <w:pStyle w:val="ListBullet"/>
        <w:spacing w:after="40"/>
      </w:pPr>
      <w:r>
        <w:t>10-K page numbers have been added wherever the Part 2 evidence uses the filing. Keep the named document + date + page format in the final integrated Evidence Log.</w:t>
      </w:r>
    </w:p>
    <w:p>
      <w:pPr>
        <w:pStyle w:val="ListBullet"/>
        <w:spacing w:after="40"/>
      </w:pPr>
      <w:r>
        <w:t>Open the Apr. 27, 2020 NVIDIA Mellanox release and verify the $7B transaction value.</w:t>
      </w:r>
    </w:p>
    <w:p>
      <w:pPr>
        <w:pStyle w:val="ListBullet"/>
        <w:spacing w:after="40"/>
      </w:pPr>
      <w:r>
        <w:t>Open the Google TPU (May 18, 2016), Meta MTIA (May 18, 2023), and OpenAI/Broadcom (Oct. 13, 2025) primary announcements.</w:t>
      </w:r>
    </w:p>
    <w:p>
      <w:pPr>
        <w:pStyle w:val="ListBullet"/>
        <w:spacing w:after="40"/>
      </w:pPr>
      <w:r>
        <w:t>Do not name the 22% or 14% direct customers; NVIDIA does not identify them in the 10-K.</w:t>
      </w:r>
    </w:p>
    <w:p>
      <w:pPr>
        <w:pStyle w:val="ListBullet"/>
        <w:spacing w:after="40"/>
      </w:pPr>
      <w:r>
        <w:t>Final maturity scorecard confirmed against the Week 5 course scale: Strategy &amp; Leadership 5; Culture &amp; Talent 4; Technology &amp; Infrastructure 5; Operations &amp; Processes 4; Customer Experience 4. Keep supplier dependence as an operational vulnerability, not the strategic binding constraint; the binding constraint remains concentrated customers building substitutes.</w:t>
      </w:r>
    </w:p>
    <w:p>
      <w:pPr>
        <w:pStyle w:val="Heading1"/>
      </w:pPr>
      <w:r>
        <w:t>12. Source Register</w:t>
      </w:r>
    </w:p>
    <w:tbl>
      <w:tblPr>
        <w:tblStyle w:val="TableGrid"/>
        <w:tblW w:type="auto" w:w="0"/>
        <w:tblLook w:firstColumn="1" w:firstRow="1" w:lastColumn="0" w:lastRow="0" w:noHBand="0" w:noVBand="1" w:val="04A0"/>
      </w:tblPr>
      <w:tblGrid>
        <w:gridCol w:w="3552"/>
        <w:gridCol w:w="3552"/>
        <w:gridCol w:w="3552"/>
      </w:tblGrid>
      <w:tr>
        <w:tc>
          <w:tcPr>
            <w:tcW w:type="dxa" w:w="3552"/>
            <w:vAlign w:val="top"/>
            <w:shd w:fill="17365D"/>
          </w:tcPr>
          <w:p>
            <w:pPr>
              <w:spacing w:after="0"/>
            </w:pPr>
            <w:r/>
            <w:r>
              <w:rPr>
                <w:rFonts w:ascii="Aptos" w:hAnsi="Aptos"/>
                <w:b/>
                <w:color w:val="FFFFFF"/>
                <w:sz w:val="16"/>
              </w:rPr>
              <w:t>Document</w:t>
            </w:r>
          </w:p>
        </w:tc>
        <w:tc>
          <w:tcPr>
            <w:tcW w:type="dxa" w:w="3552"/>
            <w:vAlign w:val="top"/>
            <w:shd w:fill="17365D"/>
          </w:tcPr>
          <w:p>
            <w:pPr>
              <w:spacing w:after="0"/>
            </w:pPr>
            <w:r/>
            <w:r>
              <w:rPr>
                <w:rFonts w:ascii="Aptos" w:hAnsi="Aptos"/>
                <w:b/>
                <w:color w:val="FFFFFF"/>
                <w:sz w:val="16"/>
              </w:rPr>
              <w:t>Date</w:t>
            </w:r>
          </w:p>
        </w:tc>
        <w:tc>
          <w:tcPr>
            <w:tcW w:type="dxa" w:w="3552"/>
            <w:vAlign w:val="top"/>
            <w:shd w:fill="17365D"/>
          </w:tcPr>
          <w:p>
            <w:pPr>
              <w:spacing w:after="0"/>
            </w:pPr>
            <w:r/>
            <w:r>
              <w:rPr>
                <w:rFonts w:ascii="Aptos" w:hAnsi="Aptos"/>
                <w:b/>
                <w:color w:val="FFFFFF"/>
                <w:sz w:val="16"/>
              </w:rPr>
              <w:t>Use</w:t>
            </w:r>
          </w:p>
        </w:tc>
      </w:tr>
      <w:tr>
        <w:tc>
          <w:tcPr>
            <w:tcW w:type="dxa" w:w="3552"/>
            <w:vAlign w:val="top"/>
          </w:tcPr>
          <w:p>
            <w:r>
              <w:t>NVIDIA FY2026 Form 10-K</w:t>
            </w:r>
          </w:p>
        </w:tc>
        <w:tc>
          <w:tcPr>
            <w:tcW w:type="dxa" w:w="3552"/>
            <w:vAlign w:val="top"/>
          </w:tcPr>
          <w:p>
            <w:pPr>
              <w:spacing w:after="0"/>
            </w:pPr>
            <w:r/>
            <w:r>
              <w:rPr>
                <w:rFonts w:ascii="Aptos" w:hAnsi="Aptos"/>
                <w:b w:val="0"/>
                <w:sz w:val="16"/>
              </w:rPr>
              <w:t>Filed Feb. 25, 2026</w:t>
            </w:r>
          </w:p>
        </w:tc>
        <w:tc>
          <w:tcPr>
            <w:tcW w:type="dxa" w:w="3552"/>
            <w:vAlign w:val="top"/>
          </w:tcPr>
          <w:p>
            <w:r>
              <w:t>Primary source for Part 2. Pages used: p. 6 (software/licenses/developer ecosystem); p. 8 (manufacturing partners); p. 14 (customer substitute risk); p. 40 (customer concentration/gross margin); p. 41 (R&amp;D); p. 78 (Data Center and Networking revenue).</w:t>
            </w:r>
          </w:p>
        </w:tc>
      </w:tr>
      <w:tr>
        <w:tc>
          <w:tcPr>
            <w:tcW w:type="dxa" w:w="3552"/>
            <w:vAlign w:val="top"/>
          </w:tcPr>
          <w:p>
            <w:pPr>
              <w:spacing w:after="0"/>
            </w:pPr>
            <w:r/>
            <w:r>
              <w:rPr>
                <w:rFonts w:ascii="Aptos" w:hAnsi="Aptos"/>
                <w:b w:val="0"/>
                <w:sz w:val="16"/>
              </w:rPr>
              <w:t>NVIDIA Q2 FY2027 Financial Results</w:t>
            </w:r>
          </w:p>
        </w:tc>
        <w:tc>
          <w:tcPr>
            <w:tcW w:type="dxa" w:w="3552"/>
            <w:vAlign w:val="top"/>
          </w:tcPr>
          <w:p>
            <w:pPr>
              <w:spacing w:after="0"/>
            </w:pPr>
            <w:r/>
            <w:r>
              <w:rPr>
                <w:rFonts w:ascii="Aptos" w:hAnsi="Aptos"/>
                <w:b w:val="0"/>
                <w:sz w:val="16"/>
              </w:rPr>
              <w:t>Aug. 26, 2026</w:t>
            </w:r>
          </w:p>
        </w:tc>
        <w:tc>
          <w:tcPr>
            <w:tcW w:type="dxa" w:w="3552"/>
            <w:vAlign w:val="top"/>
          </w:tcPr>
          <w:p>
            <w:pPr>
              <w:spacing w:after="0"/>
            </w:pPr>
            <w:r/>
            <w:r>
              <w:rPr>
                <w:rFonts w:ascii="Aptos" w:hAnsi="Aptos"/>
                <w:b w:val="0"/>
                <w:sz w:val="16"/>
              </w:rPr>
              <w:t>Revenue $96.2B, Data Center $89.0B, 75.0% gross margin; Edge Computing context.</w:t>
            </w:r>
          </w:p>
        </w:tc>
      </w:tr>
      <w:tr>
        <w:tc>
          <w:tcPr>
            <w:tcW w:type="dxa" w:w="3552"/>
            <w:vAlign w:val="top"/>
          </w:tcPr>
          <w:p>
            <w:pPr>
              <w:spacing w:after="0"/>
            </w:pPr>
            <w:r/>
            <w:r>
              <w:rPr>
                <w:rFonts w:ascii="Aptos" w:hAnsi="Aptos"/>
                <w:b w:val="0"/>
                <w:sz w:val="16"/>
              </w:rPr>
              <w:t>NVIDIA Completes Acquisition of Mellanox</w:t>
            </w:r>
          </w:p>
        </w:tc>
        <w:tc>
          <w:tcPr>
            <w:tcW w:type="dxa" w:w="3552"/>
            <w:vAlign w:val="top"/>
          </w:tcPr>
          <w:p>
            <w:pPr>
              <w:spacing w:after="0"/>
            </w:pPr>
            <w:r/>
            <w:r>
              <w:rPr>
                <w:rFonts w:ascii="Aptos" w:hAnsi="Aptos"/>
                <w:b w:val="0"/>
                <w:sz w:val="16"/>
              </w:rPr>
              <w:t>Apr. 27, 2020</w:t>
            </w:r>
          </w:p>
        </w:tc>
        <w:tc>
          <w:tcPr>
            <w:tcW w:type="dxa" w:w="3552"/>
            <w:vAlign w:val="top"/>
          </w:tcPr>
          <w:p>
            <w:pPr>
              <w:spacing w:after="0"/>
            </w:pPr>
            <w:r/>
            <w:r>
              <w:rPr>
                <w:rFonts w:ascii="Aptos" w:hAnsi="Aptos"/>
                <w:b w:val="0"/>
                <w:sz w:val="16"/>
              </w:rPr>
              <w:t>$7B acquisition; compute + networking integration rationale.</w:t>
            </w:r>
          </w:p>
        </w:tc>
      </w:tr>
      <w:tr>
        <w:tc>
          <w:tcPr>
            <w:tcW w:type="dxa" w:w="3552"/>
            <w:vAlign w:val="top"/>
          </w:tcPr>
          <w:p>
            <w:pPr>
              <w:spacing w:after="0"/>
            </w:pPr>
            <w:r/>
            <w:r>
              <w:rPr>
                <w:rFonts w:ascii="Aptos" w:hAnsi="Aptos"/>
                <w:b w:val="0"/>
                <w:sz w:val="16"/>
              </w:rPr>
              <w:t>Google supercharges machine learning tasks with TPU custom chip</w:t>
            </w:r>
          </w:p>
        </w:tc>
        <w:tc>
          <w:tcPr>
            <w:tcW w:type="dxa" w:w="3552"/>
            <w:vAlign w:val="top"/>
          </w:tcPr>
          <w:p>
            <w:pPr>
              <w:spacing w:after="0"/>
            </w:pPr>
            <w:r/>
            <w:r>
              <w:rPr>
                <w:rFonts w:ascii="Aptos" w:hAnsi="Aptos"/>
                <w:b w:val="0"/>
                <w:sz w:val="16"/>
              </w:rPr>
              <w:t>May 18, 2016</w:t>
            </w:r>
          </w:p>
        </w:tc>
        <w:tc>
          <w:tcPr>
            <w:tcW w:type="dxa" w:w="3552"/>
            <w:vAlign w:val="top"/>
          </w:tcPr>
          <w:p>
            <w:pPr>
              <w:spacing w:after="0"/>
            </w:pPr>
            <w:r/>
            <w:r>
              <w:rPr>
                <w:rFonts w:ascii="Aptos" w:hAnsi="Aptos"/>
                <w:b w:val="0"/>
                <w:sz w:val="16"/>
              </w:rPr>
              <w:t>Primary evidence of hyperscaler custom AI silicon.</w:t>
            </w:r>
          </w:p>
        </w:tc>
      </w:tr>
      <w:tr>
        <w:tc>
          <w:tcPr>
            <w:tcW w:type="dxa" w:w="3552"/>
            <w:vAlign w:val="top"/>
          </w:tcPr>
          <w:p>
            <w:pPr>
              <w:spacing w:after="0"/>
            </w:pPr>
            <w:r/>
            <w:r>
              <w:rPr>
                <w:rFonts w:ascii="Aptos" w:hAnsi="Aptos"/>
                <w:b w:val="0"/>
                <w:sz w:val="16"/>
              </w:rPr>
              <w:t>Meta — MTIA v1</w:t>
            </w:r>
          </w:p>
        </w:tc>
        <w:tc>
          <w:tcPr>
            <w:tcW w:type="dxa" w:w="3552"/>
            <w:vAlign w:val="top"/>
          </w:tcPr>
          <w:p>
            <w:pPr>
              <w:spacing w:after="0"/>
            </w:pPr>
            <w:r/>
            <w:r>
              <w:rPr>
                <w:rFonts w:ascii="Aptos" w:hAnsi="Aptos"/>
                <w:b w:val="0"/>
                <w:sz w:val="16"/>
              </w:rPr>
              <w:t>May 18, 2023</w:t>
            </w:r>
          </w:p>
        </w:tc>
        <w:tc>
          <w:tcPr>
            <w:tcW w:type="dxa" w:w="3552"/>
            <w:vAlign w:val="top"/>
          </w:tcPr>
          <w:p>
            <w:pPr>
              <w:spacing w:after="0"/>
            </w:pPr>
            <w:r/>
            <w:r>
              <w:rPr>
                <w:rFonts w:ascii="Aptos" w:hAnsi="Aptos"/>
                <w:b w:val="0"/>
                <w:sz w:val="16"/>
              </w:rPr>
              <w:t>Primary evidence of Meta custom inference silicon and scale-efficiency rationale.</w:t>
            </w:r>
          </w:p>
        </w:tc>
      </w:tr>
      <w:tr>
        <w:tc>
          <w:tcPr>
            <w:tcW w:type="dxa" w:w="3552"/>
            <w:vAlign w:val="top"/>
          </w:tcPr>
          <w:p>
            <w:pPr>
              <w:spacing w:after="0"/>
            </w:pPr>
            <w:r/>
            <w:r>
              <w:rPr>
                <w:rFonts w:ascii="Aptos" w:hAnsi="Aptos"/>
                <w:b w:val="0"/>
                <w:sz w:val="16"/>
              </w:rPr>
              <w:t>OpenAI and Broadcom strategic collaboration</w:t>
            </w:r>
          </w:p>
        </w:tc>
        <w:tc>
          <w:tcPr>
            <w:tcW w:type="dxa" w:w="3552"/>
            <w:vAlign w:val="top"/>
          </w:tcPr>
          <w:p>
            <w:pPr>
              <w:spacing w:after="0"/>
            </w:pPr>
            <w:r/>
            <w:r>
              <w:rPr>
                <w:rFonts w:ascii="Aptos" w:hAnsi="Aptos"/>
                <w:b w:val="0"/>
                <w:sz w:val="16"/>
              </w:rPr>
              <w:t>Oct. 13, 2025</w:t>
            </w:r>
          </w:p>
        </w:tc>
        <w:tc>
          <w:tcPr>
            <w:tcW w:type="dxa" w:w="3552"/>
            <w:vAlign w:val="top"/>
          </w:tcPr>
          <w:p>
            <w:pPr>
              <w:spacing w:after="0"/>
            </w:pPr>
            <w:r/>
            <w:r>
              <w:rPr>
                <w:rFonts w:ascii="Aptos" w:hAnsi="Aptos"/>
                <w:b w:val="0"/>
                <w:sz w:val="16"/>
              </w:rPr>
              <w:t>10 GW of OpenAI-designed custom AI accelerators.</w:t>
            </w:r>
          </w:p>
        </w:tc>
      </w:tr>
    </w:tbl>
    <w:p>
      <w:pPr>
        <w:jc w:val="center"/>
      </w:pPr>
      <w:r>
        <w:t>STATUS: FRAMEWORKS 3–5 RESEARCH-COMPLETE · PAGE REFERENCES ADDED · HUMAN OWNER SOURCE CHECK STILL REQUIRED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