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A910428" wp14:textId="77777777">
      <w:pPr>
        <w:spacing w:after="0"/>
        <w:jc w:val="left"/>
      </w:pPr>
      <w:r>
        <w:rPr>
          <w:rFonts w:ascii="Aptos Display" w:hAnsi="Aptos Display"/>
          <w:b/>
          <w:color w:val="1F4E79"/>
          <w:sz w:val="42"/>
        </w:rPr>
        <w:t>NVIDIA FULL FRAMEWORK BRIEF</w:t>
      </w:r>
    </w:p>
    <w:p xmlns:wp14="http://schemas.microsoft.com/office/word/2010/wordml" w:rsidP="4C1507E5" w14:paraId="6544CCE1" wp14:textId="77777777">
      <w:pPr>
        <w:spacing w:after="40"/>
        <w:rPr>
          <w:b w:val="1"/>
          <w:bCs w:val="1"/>
          <w:color w:val="244A70"/>
          <w:sz w:val="22"/>
          <w:szCs w:val="22"/>
        </w:rPr>
      </w:pPr>
      <w:r w:rsidRPr="4C1507E5" w:rsidR="4C1507E5">
        <w:rPr>
          <w:b w:val="1"/>
          <w:bCs w:val="1"/>
          <w:color w:val="244A70"/>
          <w:sz w:val="24"/>
          <w:szCs w:val="24"/>
        </w:rPr>
        <w:t>From gaming-GPU vendor to full-stack AI computing platform</w:t>
      </w:r>
    </w:p>
    <w:p xmlns:wp14="http://schemas.microsoft.com/office/word/2010/wordml" w:rsidP="4C1507E5" w14:paraId="67106EFE" wp14:textId="48936197">
      <w:pPr>
        <w:pStyle w:val="Normal"/>
        <w:suppressLineNumbers w:val="0"/>
        <w:bidi w:val="0"/>
        <w:spacing w:before="0" w:beforeAutospacing="off" w:after="40" w:afterAutospacing="off" w:line="245" w:lineRule="auto"/>
        <w:ind w:left="0" w:right="0"/>
        <w:jc w:val="left"/>
      </w:pPr>
      <w:r w:rsidRPr="4C1507E5" w:rsidR="4C1507E5">
        <w:rPr>
          <w:color w:val="666666"/>
          <w:sz w:val="18"/>
          <w:szCs w:val="18"/>
        </w:rPr>
        <w:t xml:space="preserve">Dimitrius - Framework </w:t>
      </w:r>
      <w:r w:rsidRPr="4C1507E5" w:rsidR="4C1507E5">
        <w:rPr>
          <w:color w:val="666666"/>
          <w:sz w:val="18"/>
          <w:szCs w:val="18"/>
        </w:rPr>
        <w:t>Analyst  |</w:t>
      </w:r>
      <w:r w:rsidRPr="4C1507E5" w:rsidR="4C1507E5">
        <w:rPr>
          <w:color w:val="666666"/>
          <w:sz w:val="18"/>
          <w:szCs w:val="18"/>
        </w:rPr>
        <w:t xml:space="preserve">  Mahdin Awsaf Chowdhury – Framework Analyst </w:t>
      </w:r>
      <w:r w:rsidRPr="4C1507E5" w:rsidR="4C1507E5">
        <w:rPr>
          <w:color w:val="666666"/>
          <w:sz w:val="18"/>
          <w:szCs w:val="18"/>
        </w:rPr>
        <w:t>|  Tiago</w:t>
      </w:r>
      <w:r w:rsidRPr="4C1507E5" w:rsidR="4C1507E5">
        <w:rPr>
          <w:color w:val="666666"/>
          <w:sz w:val="18"/>
          <w:szCs w:val="18"/>
        </w:rPr>
        <w:t xml:space="preserve"> Farinas - Presenter / Recorder | Keagan Smith – Executive Brief Writer</w:t>
      </w:r>
    </w:p>
    <w:p xmlns:wp14="http://schemas.microsoft.com/office/word/2010/wordml" w14:paraId="672A6659" wp14:textId="77777777">
      <w:pPr>
        <w:spacing w:before="0" w:after="40"/>
        <w:pBdr>
          <w:bottom w:val="single" w:color="1F4E79" w:sz="12" w:space="1"/>
        </w:pBdr>
      </w:pPr>
    </w:p>
    <w:tbl>
      <w:tblPr>
        <w:tblW w:w="0" w:type="auto"/>
        <w:jc w:val="center"/>
        <w:tblLayout w:type="fixed"/>
        <w:tblLook w:val="04A0" w:firstRow="1" w:lastRow="0" w:firstColumn="1" w:lastColumn="0" w:noHBand="0" w:noVBand="1"/>
      </w:tblPr>
      <w:tblGrid>
        <w:gridCol w:w="9288"/>
      </w:tblGrid>
      <w:tr xmlns:wp14="http://schemas.microsoft.com/office/word/2010/wordml" w:rsidTr="4C1507E5" w14:paraId="1FD65DC5" wp14:textId="77777777">
        <w:tc>
          <w:tcPr>
            <w:tcW w:w="9360" w:type="dxa"/>
            <w:shd w:val="clear" w:color="auto" w:fill="D9EAF7"/>
            <w:tcMar>
              <w:top w:w="110" w:type="dxa"/>
              <w:left w:w="130" w:type="dxa"/>
              <w:start w:w="130" w:type="dxa"/>
              <w:bottom w:w="110" w:type="dxa"/>
              <w:right w:w="130" w:type="dxa"/>
              <w:end w:w="130" w:type="dxa"/>
            </w:tcMar>
          </w:tcPr>
          <w:p w14:paraId="4547B70B" wp14:textId="034798D0">
            <w:pPr>
              <w:spacing w:after="0" w:line="240" w:lineRule="auto"/>
            </w:pPr>
            <w:r w:rsidRPr="4C1507E5" w:rsidR="4C1507E5">
              <w:rPr>
                <w:b w:val="1"/>
                <w:bCs w:val="1"/>
                <w:color w:val="1F4E79"/>
                <w:sz w:val="22"/>
                <w:szCs w:val="22"/>
              </w:rPr>
              <w:t xml:space="preserve">ONE-SENTENCE </w:t>
            </w:r>
            <w:r w:rsidRPr="4C1507E5" w:rsidR="4C1507E5">
              <w:rPr>
                <w:b w:val="1"/>
                <w:bCs w:val="1"/>
                <w:color w:val="1F4E79"/>
                <w:sz w:val="22"/>
                <w:szCs w:val="22"/>
              </w:rPr>
              <w:t>VERDICT:</w:t>
            </w:r>
            <w:r w:rsidRPr="4C1507E5" w:rsidR="4C1507E5">
              <w:rPr>
                <w:b w:val="1"/>
                <w:bCs w:val="1"/>
                <w:color w:val="1F4E79"/>
                <w:sz w:val="22"/>
                <w:szCs w:val="22"/>
              </w:rPr>
              <w:t xml:space="preserve">  </w:t>
            </w:r>
            <w:r w:rsidRPr="4C1507E5" w:rsidR="4C1507E5">
              <w:rPr>
                <w:sz w:val="22"/>
                <w:szCs w:val="22"/>
              </w:rPr>
              <w:t>NVIDIA</w:t>
            </w:r>
            <w:r w:rsidRPr="4C1507E5" w:rsidR="4C1507E5">
              <w:rPr>
                <w:sz w:val="22"/>
                <w:szCs w:val="22"/>
              </w:rPr>
              <w:t xml:space="preserve"> is a genuine digital transformation whose full-stack AI moat created extraordinary value capture, but its durability now depends on detecting whether concentrated customers are shifting new accelerator capacity toward substitutes before that shift appears in revenue.</w:t>
            </w:r>
          </w:p>
        </w:tc>
      </w:tr>
    </w:tbl>
    <w:p xmlns:wp14="http://schemas.microsoft.com/office/word/2010/wordml" w:rsidP="4C1507E5" w14:paraId="0A819118" wp14:textId="77777777">
      <w:pPr>
        <w:pStyle w:val="Heading1"/>
        <w:keepNext w:val="1"/>
        <w:rPr>
          <w:sz w:val="24"/>
          <w:szCs w:val="24"/>
        </w:rPr>
      </w:pPr>
      <w:r w:rsidRPr="4C1507E5" w:rsidR="4C1507E5">
        <w:rPr>
          <w:sz w:val="24"/>
          <w:szCs w:val="24"/>
        </w:rPr>
        <w:t>SITUATION</w:t>
      </w:r>
    </w:p>
    <w:p xmlns:wp14="http://schemas.microsoft.com/office/word/2010/wordml" w14:paraId="1D219EDD" wp14:textId="06092766">
      <w:pPr>
        <w:keepLines w:val="1"/>
      </w:pPr>
      <w:r w:rsidR="4C1507E5">
        <w:rPr>
          <w:b w:val="0"/>
          <w:bCs w:val="0"/>
        </w:rPr>
        <w:t>NVIDIA</w:t>
      </w:r>
      <w:r w:rsidR="4C1507E5">
        <w:rPr>
          <w:b w:val="0"/>
          <w:bCs w:val="0"/>
        </w:rPr>
        <w:t xml:space="preserve"> </w:t>
      </w:r>
      <w:r w:rsidR="4C1507E5">
        <w:rPr/>
        <w:t xml:space="preserve">has repositioned from a gaming-focused GPU supplier into a data-center-scale AI infrastructure company by combining accelerated </w:t>
      </w:r>
      <w:r w:rsidR="4C1507E5">
        <w:rPr/>
        <w:t>compute</w:t>
      </w:r>
      <w:r w:rsidR="4C1507E5">
        <w:rPr/>
        <w:t xml:space="preserve">, Compute Unified Device Architecture (CUDA) software, networking, and integrated systems. The transformation unfolded through a multi-year capability sequence: CUDA in 2006, CUDA Deep Neural Network (cuDNN) in 2014, DGX-1 in 2016, and the </w:t>
      </w:r>
      <w:r w:rsidR="4C1507E5">
        <w:rPr/>
        <w:t>$7 billion</w:t>
      </w:r>
      <w:r w:rsidR="4C1507E5">
        <w:rPr/>
        <w:t xml:space="preserve"> Mellanox acquisition in 2020. By FY2026, Data Center revenue reached </w:t>
      </w:r>
      <w:r w:rsidR="4C1507E5">
        <w:rPr/>
        <w:t xml:space="preserve">$193.737 </w:t>
      </w:r>
      <w:r w:rsidR="4C1507E5">
        <w:rPr/>
        <w:t>billion</w:t>
      </w:r>
      <w:r w:rsidR="4C1507E5">
        <w:rPr/>
        <w:t xml:space="preserve"> of </w:t>
      </w:r>
      <w:r w:rsidR="4C1507E5">
        <w:rPr/>
        <w:t>$215.938 billion</w:t>
      </w:r>
      <w:r w:rsidR="4C1507E5">
        <w:rPr/>
        <w:t xml:space="preserve"> total revenue, or 89.7%, and NVIDIA stopped reporting Gaming as a standalone line in its May 2026 reporting framework. The transformation has therefore changed the company’s competitive boundary and profit mechanism even though the revenue model </w:t>
      </w:r>
      <w:r w:rsidR="4C1507E5">
        <w:rPr/>
        <w:t>remains</w:t>
      </w:r>
      <w:r w:rsidR="4C1507E5">
        <w:rPr/>
        <w:t xml:space="preserve"> </w:t>
      </w:r>
      <w:r w:rsidR="4C1507E5">
        <w:rPr/>
        <w:t>predominantly transactional</w:t>
      </w:r>
      <w:r w:rsidR="4C1507E5">
        <w:rPr/>
        <w:t>.</w:t>
      </w:r>
    </w:p>
    <w:p xmlns:wp14="http://schemas.microsoft.com/office/word/2010/wordml" w:rsidP="4C1507E5" w14:paraId="6E929CE3" wp14:textId="77777777">
      <w:pPr>
        <w:pStyle w:val="Heading1"/>
        <w:keepNext w:val="1"/>
        <w:rPr>
          <w:sz w:val="24"/>
          <w:szCs w:val="24"/>
        </w:rPr>
      </w:pPr>
      <w:r w:rsidRPr="4C1507E5" w:rsidR="4C1507E5">
        <w:rPr>
          <w:sz w:val="24"/>
          <w:szCs w:val="24"/>
        </w:rPr>
        <w:t>ANALYSIS</w:t>
      </w:r>
    </w:p>
    <w:p xmlns:wp14="http://schemas.microsoft.com/office/word/2010/wordml" w14:paraId="353CC7AC" wp14:textId="68F92875">
      <w:pPr>
        <w:keepLines w:val="1"/>
      </w:pPr>
      <w:r w:rsidRPr="4C1507E5" w:rsidR="4C1507E5">
        <w:rPr>
          <w:color w:val="244A70"/>
        </w:rPr>
        <w:t>1: THE MOAT WAS BUILT BEFORE THE MARKET, NOT FOR IT.</w:t>
      </w:r>
      <w:r w:rsidR="4C1507E5">
        <w:rPr/>
        <w:t xml:space="preserve"> NVIDIA followed a genuine Crawl/Walk/Run sequence: general-purpose GPU programmability came first; deep-learning libraries and integrated systems followed; networking then completed the scale-out architecture. That sequence matters because each layer expanded what the next layer could monetize. CUDA preceded modern mass-market AI demand, while the developer ecosystem reached more than </w:t>
      </w:r>
      <w:r w:rsidR="4C1507E5">
        <w:rPr/>
        <w:t>7.5 million users</w:t>
      </w:r>
      <w:r w:rsidR="4C1507E5">
        <w:rPr/>
        <w:t xml:space="preserve"> of CUDA and other NVIDIA software tools by FY2026. The Week 8 pattern is successful </w:t>
      </w:r>
      <w:r w:rsidR="4C1507E5">
        <w:rPr/>
        <w:t>reinvention</w:t>
      </w:r>
      <w:r w:rsidR="4C1507E5">
        <w:rPr/>
        <w:t xml:space="preserve"> through an ecosystem pivot, the reverse of announcing a digital ambition before the underlying capability exists. (Sources: NVIDIA FY2026 Form 10-K, filed Feb. 25, 2026; NVIDIA </w:t>
      </w:r>
      <w:r w:rsidR="4C1507E5">
        <w:rPr/>
        <w:t>cuDNN</w:t>
      </w:r>
      <w:r w:rsidR="4C1507E5">
        <w:rPr/>
        <w:t xml:space="preserve"> Technical Blog, Sept. 7, 2014; NVIDIA DGX-1 release, Apr. 5, 2016; NVIDIA Mellanox completion release, Apr. 27, </w:t>
      </w:r>
      <w:r w:rsidR="4C1507E5">
        <w:rPr/>
        <w:t>2020.)</w:t>
      </w:r>
    </w:p>
    <w:p xmlns:wp14="http://schemas.microsoft.com/office/word/2010/wordml" w14:paraId="221F77B9" wp14:textId="77777777">
      <w:pPr>
        <w:keepLines w:val="1"/>
      </w:pPr>
      <w:r w:rsidRPr="4C1507E5" w:rsidR="4C1507E5">
        <w:rPr>
          <w:color w:val="244A70"/>
        </w:rPr>
        <w:t>2 | SOFTWARE LOCK-IN, NOT THE CHIP ALONE, CONVERTED DEMAND INTO VALUE CAPTURE.</w:t>
      </w:r>
      <w:r w:rsidR="4C1507E5">
        <w:rPr/>
        <w:t xml:space="preserve"> NVIDIA remains economically a pipeline: it earns primarily when hardware is sold, while the free CUDA ecosystem creates platform-grade, cross-side network effects that increase hardware value and switching costs. The result is unusually strong value capture: Data Center expanded from 40.2% of revenue in FY2021 to 89.7% in FY2026, while GAAP gross margin rose from 62.3% to 71.1% and reached 75.0% in Q2 FY2027. The moat is full-stack, spanning silicon, software, networking, and systems; Mellanox alone grew into $31.376 billion of FY2026 Networking revenue. Public data supports this lock-in thesis, but it does not support a defensible CAC:LTV calculation or a claim that recurring software materially changed the core revenue model. (Sources: NVIDIA FY2021 and FY2026 Form 10-Ks; NVIDIA Q2 FY2027 Financial Results, Aug. 26, 2026.)</w:t>
      </w:r>
    </w:p>
    <w:p xmlns:wp14="http://schemas.microsoft.com/office/word/2010/wordml" w14:paraId="0A37501D" wp14:textId="77777777">
      <w:r>
        <w:br w:type="page"/>
      </w:r>
    </w:p>
    <w:p xmlns:wp14="http://schemas.microsoft.com/office/word/2010/wordml" w14:paraId="14C69D55" wp14:textId="77777777">
      <w:pPr>
        <w:spacing w:after="20"/>
      </w:pPr>
      <w:r>
        <w:rPr>
          <w:b/>
          <w:color w:val="1F4E79"/>
          <w:sz w:val="20"/>
        </w:rPr>
        <w:t>NVIDIA FULL FRAMEWORK BRIEF  |  STRATEGIC ARGUMENT</w:t>
      </w:r>
    </w:p>
    <w:p xmlns:wp14="http://schemas.microsoft.com/office/word/2010/wordml" w14:paraId="5DAB6C7B" wp14:textId="77777777">
      <w:pPr>
        <w:spacing w:before="0" w:after="40"/>
        <w:pBdr>
          <w:bottom w:val="single" w:color="1F4E79" w:sz="8" w:space="1"/>
        </w:pBdr>
      </w:pPr>
    </w:p>
    <w:p xmlns:wp14="http://schemas.microsoft.com/office/word/2010/wordml" w:rsidP="4C1507E5" w14:paraId="2078B380" wp14:textId="77777777">
      <w:pPr>
        <w:pStyle w:val="Heading1"/>
        <w:keepNext w:val="1"/>
        <w:rPr>
          <w:sz w:val="24"/>
          <w:szCs w:val="24"/>
        </w:rPr>
      </w:pPr>
      <w:r w:rsidRPr="4C1507E5" w:rsidR="4C1507E5">
        <w:rPr>
          <w:sz w:val="24"/>
          <w:szCs w:val="24"/>
        </w:rPr>
        <w:t>ANALYSIS — CONTINUED</w:t>
      </w:r>
    </w:p>
    <w:p xmlns:wp14="http://schemas.microsoft.com/office/word/2010/wordml" w14:paraId="76051938" wp14:textId="747CC147">
      <w:pPr>
        <w:keepLines w:val="1"/>
      </w:pPr>
      <w:r w:rsidRPr="4C1507E5" w:rsidR="4C1507E5">
        <w:rPr>
          <w:color w:val="244A70"/>
        </w:rPr>
        <w:t>3 | THE MOAT NOW FUNDS ITS OWN ATTACKERS, AND PUBLIC KPIs WILL SEE THE SHIFT LATE.</w:t>
      </w:r>
      <w:r w:rsidR="4C1507E5">
        <w:rPr/>
        <w:t xml:space="preserve"> NVIDIA’s approximately 75% gross margin is a cost line its largest customers are motivated to reduce, while their scale gives them the means to develop alternatives. Two direct customers represented 36% of FY2026 revenue, and NVIDIA’s own filing states that some customers </w:t>
      </w:r>
      <w:r w:rsidR="4C1507E5">
        <w:rPr/>
        <w:t>possess</w:t>
      </w:r>
      <w:r w:rsidR="4C1507E5">
        <w:rPr/>
        <w:t xml:space="preserve"> internal </w:t>
      </w:r>
      <w:r w:rsidR="4C1507E5">
        <w:rPr/>
        <w:t>expertise</w:t>
      </w:r>
      <w:r w:rsidR="4C1507E5">
        <w:rPr/>
        <w:t xml:space="preserve"> capable of producing replacement solutions. Google TPU, Meta MTIA, Microsoft Maia, and OpenAI’s Broadcom collaboration show that custom accelerator capacity can grow while those firms continue </w:t>
      </w:r>
      <w:r w:rsidR="4C1507E5">
        <w:rPr/>
        <w:t>purchasing</w:t>
      </w:r>
      <w:r w:rsidR="4C1507E5">
        <w:rPr/>
        <w:t xml:space="preserve"> NVIDIA. Yet NVIDIA’s disclosed revenue, margin, and market-segment KPIs </w:t>
      </w:r>
      <w:r w:rsidR="4C1507E5">
        <w:rPr/>
        <w:t>measured</w:t>
      </w:r>
      <w:r w:rsidR="4C1507E5">
        <w:rPr/>
        <w:t xml:space="preserve"> performance after capacity decisions have occurred. A customer can remain a major buyer while assigning a larger share of its next generation to substitutes, leaving the board with strong lagging results and a weakening future allocation position. (Sources: NVIDIA FY2026 Form 10-K, filed Feb. 25, 2026; Google Cloud, May 18, 2016; Meta AI, May 18, 2023; Microsoft Source, Nov. 15, 2023; OpenAI, Oct. 13, 2025.)</w:t>
      </w:r>
    </w:p>
    <w:p xmlns:wp14="http://schemas.microsoft.com/office/word/2010/wordml" w:rsidP="4C1507E5" w14:paraId="0EE70E43" wp14:textId="77777777">
      <w:pPr>
        <w:pStyle w:val="Heading1"/>
        <w:keepNext w:val="1"/>
        <w:rPr>
          <w:sz w:val="24"/>
          <w:szCs w:val="24"/>
        </w:rPr>
      </w:pPr>
      <w:r w:rsidRPr="4C1507E5" w:rsidR="4C1507E5">
        <w:rPr>
          <w:sz w:val="24"/>
          <w:szCs w:val="24"/>
        </w:rPr>
        <w:t>STRUCTURAL PATTERN</w:t>
      </w:r>
    </w:p>
    <w:tbl>
      <w:tblPr>
        <w:tblW w:w="0" w:type="auto"/>
        <w:jc w:val="center"/>
        <w:tblLayout w:type="fixed"/>
        <w:tblLook w:val="04A0" w:firstRow="1" w:lastRow="0" w:firstColumn="1" w:lastColumn="0" w:noHBand="0" w:noVBand="1"/>
      </w:tblPr>
      <w:tblGrid>
        <w:gridCol w:w="9288"/>
      </w:tblGrid>
      <w:tr xmlns:wp14="http://schemas.microsoft.com/office/word/2010/wordml" w:rsidTr="4C1507E5" w14:paraId="602788F2" wp14:textId="77777777">
        <w:tc>
          <w:tcPr>
            <w:tcW w:w="9360" w:type="dxa"/>
            <w:shd w:val="clear" w:color="auto" w:fill="EEF5FA"/>
            <w:tcMar>
              <w:top w:w="110" w:type="dxa"/>
              <w:left w:w="130" w:type="dxa"/>
              <w:start w:w="130" w:type="dxa"/>
              <w:bottom w:w="110" w:type="dxa"/>
              <w:right w:w="130" w:type="dxa"/>
              <w:end w:w="130" w:type="dxa"/>
            </w:tcMar>
          </w:tcPr>
          <w:p w14:paraId="595A1270" wp14:textId="0A101443">
            <w:pPr>
              <w:spacing w:after="0" w:line="240" w:lineRule="auto"/>
            </w:pPr>
            <w:r w:rsidRPr="4C1507E5" w:rsidR="4C1507E5">
              <w:rPr>
                <w:b w:val="1"/>
                <w:bCs w:val="1"/>
                <w:color w:val="1F4E79"/>
                <w:sz w:val="22"/>
                <w:szCs w:val="22"/>
              </w:rPr>
              <w:t xml:space="preserve">CAUSAL </w:t>
            </w:r>
            <w:r w:rsidRPr="4C1507E5" w:rsidR="4C1507E5">
              <w:rPr>
                <w:b w:val="1"/>
                <w:bCs w:val="1"/>
                <w:color w:val="1F4E79"/>
                <w:sz w:val="22"/>
                <w:szCs w:val="22"/>
              </w:rPr>
              <w:t>CHAIN:</w:t>
            </w:r>
            <w:r w:rsidRPr="4C1507E5" w:rsidR="4C1507E5">
              <w:rPr>
                <w:b w:val="1"/>
                <w:bCs w:val="1"/>
                <w:color w:val="1F4E79"/>
                <w:sz w:val="22"/>
                <w:szCs w:val="22"/>
              </w:rPr>
              <w:t xml:space="preserve">  </w:t>
            </w:r>
            <w:r w:rsidRPr="4C1507E5" w:rsidR="4C1507E5">
              <w:rPr>
                <w:sz w:val="22"/>
                <w:szCs w:val="22"/>
              </w:rPr>
              <w:t>Capability</w:t>
            </w:r>
            <w:r w:rsidRPr="4C1507E5" w:rsidR="4C1507E5">
              <w:rPr>
                <w:sz w:val="22"/>
                <w:szCs w:val="22"/>
              </w:rPr>
              <w:t xml:space="preserve"> built ahead of demand created developer lock-in. Lock-in converted the AI boom into high-margin value capture. That margin supplies customer motive, while customer concentration supplies the means, to fund substitutes. Because NVIDIA tracks realized sales more clearly than future capacity allocation, erosion can begin before existing financial KPIs reveal it.</w:t>
            </w:r>
          </w:p>
        </w:tc>
      </w:tr>
    </w:tbl>
    <w:p xmlns:wp14="http://schemas.microsoft.com/office/word/2010/wordml" w:rsidP="4C1507E5" w14:paraId="2D4B1E35" wp14:textId="77777777">
      <w:pPr>
        <w:pStyle w:val="Heading1"/>
        <w:keepNext w:val="1"/>
        <w:rPr>
          <w:sz w:val="24"/>
          <w:szCs w:val="24"/>
        </w:rPr>
      </w:pPr>
      <w:r w:rsidRPr="4C1507E5" w:rsidR="4C1507E5">
        <w:rPr>
          <w:sz w:val="24"/>
          <w:szCs w:val="24"/>
        </w:rPr>
        <w:t>VERDICT</w:t>
      </w:r>
    </w:p>
    <w:p xmlns:wp14="http://schemas.microsoft.com/office/word/2010/wordml" w14:paraId="5F966284" wp14:textId="77777777">
      <w:pPr>
        <w:keepLines/>
      </w:pPr>
      <w:r>
        <w:t>NVIDIA is on a path to durable competitive advantage, not merely sophisticated digitalization: its competitive boundary, product architecture, and profit mechanism changed materially. The determining factor is no longer whether NVIDIA can execute the current roadmap; it is whether CUDA and the full stack remain the default for each new generation of customer capacity as large buyers build credible substitutes.</w:t>
      </w:r>
    </w:p>
    <w:p xmlns:wp14="http://schemas.microsoft.com/office/word/2010/wordml" w:rsidP="4C1507E5" w14:paraId="1A50C255" wp14:textId="77777777">
      <w:pPr>
        <w:pStyle w:val="Heading1"/>
        <w:keepNext w:val="1"/>
        <w:rPr>
          <w:sz w:val="24"/>
          <w:szCs w:val="24"/>
        </w:rPr>
      </w:pPr>
      <w:r w:rsidRPr="4C1507E5" w:rsidR="4C1507E5">
        <w:rPr>
          <w:sz w:val="24"/>
          <w:szCs w:val="24"/>
        </w:rPr>
        <w:t>90-DAY RECOMMENDATION</w:t>
      </w:r>
    </w:p>
    <w:tbl>
      <w:tblPr>
        <w:tblW w:w="0" w:type="auto"/>
        <w:jc w:val="center"/>
        <w:tblLayout w:type="fixed"/>
        <w:tblLook w:val="04A0" w:firstRow="1" w:lastRow="0" w:firstColumn="1" w:lastColumn="0" w:noHBand="0" w:noVBand="1"/>
      </w:tblPr>
      <w:tblGrid>
        <w:gridCol w:w="9288"/>
      </w:tblGrid>
      <w:tr xmlns:wp14="http://schemas.microsoft.com/office/word/2010/wordml" w:rsidTr="4C1507E5" w14:paraId="5C1BBB2D" wp14:textId="77777777">
        <w:tc>
          <w:tcPr>
            <w:tcW w:w="9360" w:type="dxa"/>
            <w:shd w:val="clear" w:color="auto" w:fill="D9EAF7"/>
            <w:tcMar>
              <w:top w:w="110" w:type="dxa"/>
              <w:left w:w="130" w:type="dxa"/>
              <w:start w:w="130" w:type="dxa"/>
              <w:bottom w:w="110" w:type="dxa"/>
              <w:right w:w="130" w:type="dxa"/>
              <w:end w:w="130" w:type="dxa"/>
            </w:tcMar>
          </w:tcPr>
          <w:p w:rsidP="4C1507E5" w14:paraId="6B45EB7D" wp14:textId="12D2BDE8">
            <w:pPr>
              <w:spacing w:after="0" w:line="240" w:lineRule="auto"/>
              <w:rPr>
                <w:sz w:val="22"/>
                <w:szCs w:val="22"/>
              </w:rPr>
            </w:pPr>
            <w:r w:rsidRPr="4C1507E5" w:rsidR="4C1507E5">
              <w:rPr>
                <w:b w:val="1"/>
                <w:bCs w:val="1"/>
                <w:color w:val="1F4E79"/>
                <w:sz w:val="22"/>
                <w:szCs w:val="22"/>
              </w:rPr>
              <w:t>O</w:t>
            </w:r>
            <w:r w:rsidRPr="4C1507E5" w:rsidR="4C1507E5">
              <w:rPr>
                <w:b w:val="1"/>
                <w:bCs w:val="1"/>
                <w:color w:val="1F4E79"/>
                <w:sz w:val="22"/>
                <w:szCs w:val="22"/>
              </w:rPr>
              <w:t xml:space="preserve">WNER: CFO + CHIEF STRATEGY </w:t>
            </w:r>
            <w:r w:rsidRPr="4C1507E5" w:rsidR="4C1507E5">
              <w:rPr>
                <w:b w:val="1"/>
                <w:bCs w:val="1"/>
                <w:color w:val="1F4E79"/>
                <w:sz w:val="22"/>
                <w:szCs w:val="22"/>
              </w:rPr>
              <w:t xml:space="preserve">OFFICER:  </w:t>
            </w:r>
            <w:r w:rsidRPr="4C1507E5" w:rsidR="4C1507E5">
              <w:rPr>
                <w:sz w:val="22"/>
                <w:szCs w:val="22"/>
              </w:rPr>
              <w:t>Within</w:t>
            </w:r>
            <w:r w:rsidRPr="4C1507E5" w:rsidR="4C1507E5">
              <w:rPr>
                <w:sz w:val="22"/>
                <w:szCs w:val="22"/>
              </w:rPr>
              <w:t xml:space="preserve"> </w:t>
            </w:r>
            <w:r w:rsidRPr="4C1507E5" w:rsidR="4C1507E5">
              <w:rPr>
                <w:sz w:val="22"/>
                <w:szCs w:val="22"/>
              </w:rPr>
              <w:t>90 days</w:t>
            </w:r>
            <w:r w:rsidRPr="4C1507E5" w:rsidR="4C1507E5">
              <w:rPr>
                <w:sz w:val="22"/>
                <w:szCs w:val="22"/>
              </w:rPr>
              <w:t xml:space="preserve">, </w:t>
            </w:r>
            <w:r w:rsidRPr="4C1507E5" w:rsidR="4C1507E5">
              <w:rPr>
                <w:sz w:val="22"/>
                <w:szCs w:val="22"/>
              </w:rPr>
              <w:t>establish</w:t>
            </w:r>
            <w:r w:rsidRPr="4C1507E5" w:rsidR="4C1507E5">
              <w:rPr>
                <w:sz w:val="22"/>
                <w:szCs w:val="22"/>
              </w:rPr>
              <w:t xml:space="preserve"> an Ecosystem Durability Scorecard for the board that reports NVIDIA’s estimated share of each top customer’s newly committed accelerator capacity, supported by contracts, account-team estimates, and public announcements, with confidence ranges. Pair it with strategic-cohort CUDA retention, direct-buyer versus end-customer concentration, and a substitute-capacity pipeline so leadership can detect </w:t>
            </w:r>
            <w:r w:rsidRPr="4C1507E5" w:rsidR="4C1507E5">
              <w:rPr>
                <w:sz w:val="22"/>
                <w:szCs w:val="22"/>
              </w:rPr>
              <w:t>allocation</w:t>
            </w:r>
            <w:r w:rsidRPr="4C1507E5" w:rsidR="4C1507E5">
              <w:rPr>
                <w:sz w:val="22"/>
                <w:szCs w:val="22"/>
              </w:rPr>
              <w:t xml:space="preserve"> erosion before it appears in revenue</w:t>
            </w:r>
            <w:r w:rsidRPr="4C1507E5" w:rsidR="4C1507E5">
              <w:rPr>
                <w:sz w:val="22"/>
                <w:szCs w:val="22"/>
              </w:rPr>
              <w:t>.</w:t>
            </w:r>
          </w:p>
        </w:tc>
      </w:tr>
    </w:tbl>
    <w:p xmlns:wp14="http://schemas.microsoft.com/office/word/2010/wordml" w:rsidP="4C1507E5" w14:paraId="621878B4" wp14:textId="77777777">
      <w:pPr>
        <w:pStyle w:val="Heading1"/>
        <w:keepNext w:val="1"/>
        <w:rPr>
          <w:sz w:val="24"/>
          <w:szCs w:val="24"/>
        </w:rPr>
      </w:pPr>
      <w:r w:rsidRPr="4C1507E5" w:rsidR="4C1507E5">
        <w:rPr>
          <w:sz w:val="24"/>
          <w:szCs w:val="24"/>
        </w:rPr>
        <w:t>BOARD DECISION</w:t>
      </w:r>
    </w:p>
    <w:p xmlns:wp14="http://schemas.microsoft.com/office/word/2010/wordml" w14:paraId="13052E3B" wp14:textId="77777777">
      <w:pPr>
        <w:keepLines/>
      </w:pPr>
      <w:r>
        <w:t>Approve the scorecard as a required quarterly risk view and assign one executive owner with authority to reconcile sales, ecosystem, product, and competitive-intelligence data. The next review should judge whether NVIDIA’s current margins reflect durable ecosystem preference or temporary scarcity by examining where incremental capacity is actually being committed.</w:t>
      </w:r>
    </w:p>
    <w:p xmlns:wp14="http://schemas.microsoft.com/office/word/2010/wordml" w14:paraId="71E69A37" wp14:textId="77777777">
      <w:pPr>
        <w:spacing w:before="80" w:after="0"/>
      </w:pPr>
      <w:r>
        <w:rPr>
          <w:i/>
          <w:color w:val="666666"/>
          <w:sz w:val="17"/>
        </w:rPr>
        <w:t>Traceability note: All factual claims above map to the eight-row Framework Evidence Log on pages 3–4. Figures and source dates should receive a final human check against the original documents before submission.</w:t>
      </w:r>
    </w:p>
    <w:p xmlns:wp14="http://schemas.microsoft.com/office/word/2010/wordml" w14:paraId="02EB378F" wp14:textId="77777777">
      <w:pPr>
        <w:sectPr>
          <w:headerReference w:type="default" r:id="rId9"/>
          <w:footerReference w:type="default" r:id="rId10"/>
          <w:pgSz w:w="12240" w:h="15840" w:orient="portrait"/>
          <w:pgMar w:top="835" w:right="1440" w:bottom="835" w:left="1440" w:header="720" w:footer="720" w:gutter="0"/>
          <w:cols w:space="720"/>
          <w:docGrid w:linePitch="360"/>
        </w:sectPr>
      </w:pPr>
    </w:p>
    <w:p xmlns:wp14="http://schemas.microsoft.com/office/word/2010/wordml" w14:paraId="1EFA51F0" wp14:textId="77777777">
      <w:pPr>
        <w:spacing w:after="0"/>
      </w:pPr>
      <w:r>
        <w:rPr>
          <w:rFonts w:ascii="Aptos Display" w:hAnsi="Aptos Display"/>
          <w:b/>
          <w:color w:val="1F4E79"/>
          <w:sz w:val="36"/>
        </w:rPr>
        <w:t>APPENDIX  |  FRAMEWORK EVIDENCE LOG</w:t>
      </w:r>
    </w:p>
    <w:p xmlns:wp14="http://schemas.microsoft.com/office/word/2010/wordml" w14:paraId="44A0CEE3" wp14:textId="77777777">
      <w:pPr>
        <w:spacing w:after="60"/>
      </w:pPr>
      <w:r>
        <w:rPr>
          <w:color w:val="666666"/>
          <w:sz w:val="19"/>
        </w:rPr>
        <w:t>Analytical foundation for the strategic brief · Rows 1–4</w:t>
      </w:r>
    </w:p>
    <w:p xmlns:wp14="http://schemas.microsoft.com/office/word/2010/wordml" w14:paraId="6A05A809" wp14:textId="77777777">
      <w:pPr>
        <w:spacing w:before="0" w:after="40"/>
        <w:pBdr>
          <w:bottom w:val="single" w:color="1F4E79" w:sz="8" w:space="1"/>
        </w:pBdr>
      </w:pPr>
    </w:p>
    <w:tbl>
      <w:tblPr>
        <w:tblW w:w="0" w:type="auto"/>
        <w:jc w:val="center"/>
        <w:tblLayout w:type="fixed"/>
        <w:tblLook w:val="04A0" w:firstRow="1" w:lastRow="0" w:firstColumn="1" w:lastColumn="0" w:noHBand="0" w:noVBand="1"/>
      </w:tblPr>
      <w:tblGrid>
        <w:gridCol w:w="1944"/>
        <w:gridCol w:w="3960"/>
        <w:gridCol w:w="5112"/>
        <w:gridCol w:w="3384"/>
      </w:tblGrid>
      <w:tr xmlns:wp14="http://schemas.microsoft.com/office/word/2010/wordml" w14:paraId="4D862FFC" wp14:textId="77777777">
        <w:trPr>
          <w:tblHeader w:val="true"/>
          <w:cantSplit/>
        </w:trPr>
        <w:tc>
          <w:tcPr>
            <w:tcW w:w="3614" w:type="dxa"/>
            <w:vAlign w:val="center"/>
            <w:tcMar>
              <w:top w:w="65" w:type="dxa"/>
              <w:start w:w="80" w:type="dxa"/>
              <w:bottom w:w="65" w:type="dxa"/>
              <w:end w:w="80" w:type="dxa"/>
            </w:tcMar>
            <w:shd w:fill="1F4E79"/>
          </w:tcPr>
          <w:p w14:paraId="5DBEF842" wp14:textId="77777777">
            <w:pPr>
              <w:spacing w:after="0" w:line="221" w:lineRule="auto"/>
              <w:jc w:val="center"/>
            </w:pPr>
            <w:r/>
            <w:r>
              <w:rPr>
                <w:rFonts w:ascii="Aptos" w:hAnsi="Aptos"/>
                <w:b/>
                <w:color w:val="FFFFFF"/>
                <w:sz w:val="18"/>
              </w:rPr>
              <w:t>FRAMEWORK</w:t>
            </w:r>
          </w:p>
        </w:tc>
        <w:tc>
          <w:tcPr>
            <w:tcW w:w="3614" w:type="dxa"/>
            <w:vAlign w:val="center"/>
            <w:tcMar>
              <w:top w:w="65" w:type="dxa"/>
              <w:start w:w="80" w:type="dxa"/>
              <w:bottom w:w="65" w:type="dxa"/>
              <w:end w:w="80" w:type="dxa"/>
            </w:tcMar>
            <w:shd w:fill="1F4E79"/>
          </w:tcPr>
          <w:p w14:paraId="29D159A7" wp14:textId="77777777">
            <w:pPr>
              <w:spacing w:after="0" w:line="221" w:lineRule="auto"/>
              <w:jc w:val="center"/>
            </w:pPr>
            <w:r/>
            <w:r>
              <w:rPr>
                <w:rFonts w:ascii="Aptos" w:hAnsi="Aptos"/>
                <w:b/>
                <w:color w:val="FFFFFF"/>
                <w:sz w:val="18"/>
              </w:rPr>
              <w:t>VERDICT</w:t>
            </w:r>
          </w:p>
        </w:tc>
        <w:tc>
          <w:tcPr>
            <w:tcW w:w="3614" w:type="dxa"/>
            <w:vAlign w:val="center"/>
            <w:tcMar>
              <w:top w:w="65" w:type="dxa"/>
              <w:start w:w="80" w:type="dxa"/>
              <w:bottom w:w="65" w:type="dxa"/>
              <w:end w:w="80" w:type="dxa"/>
            </w:tcMar>
            <w:shd w:fill="1F4E79"/>
          </w:tcPr>
          <w:p w14:paraId="0B3A0178" wp14:textId="77777777">
            <w:pPr>
              <w:spacing w:after="0" w:line="221" w:lineRule="auto"/>
              <w:jc w:val="center"/>
            </w:pPr>
            <w:r/>
            <w:r>
              <w:rPr>
                <w:rFonts w:ascii="Aptos" w:hAnsi="Aptos"/>
                <w:b/>
                <w:color w:val="FFFFFF"/>
                <w:sz w:val="18"/>
              </w:rPr>
              <w:t>EVIDENCE</w:t>
            </w:r>
          </w:p>
        </w:tc>
        <w:tc>
          <w:tcPr>
            <w:tcW w:w="3614" w:type="dxa"/>
            <w:vAlign w:val="center"/>
            <w:tcMar>
              <w:top w:w="65" w:type="dxa"/>
              <w:start w:w="80" w:type="dxa"/>
              <w:bottom w:w="65" w:type="dxa"/>
              <w:end w:w="80" w:type="dxa"/>
            </w:tcMar>
            <w:shd w:fill="1F4E79"/>
          </w:tcPr>
          <w:p w14:paraId="2AE34BE8" wp14:textId="77777777">
            <w:pPr>
              <w:spacing w:after="0" w:line="221" w:lineRule="auto"/>
              <w:jc w:val="center"/>
            </w:pPr>
            <w:r/>
            <w:r>
              <w:rPr>
                <w:rFonts w:ascii="Aptos" w:hAnsi="Aptos"/>
                <w:b/>
                <w:color w:val="FFFFFF"/>
                <w:sz w:val="18"/>
              </w:rPr>
              <w:t>SOURCE</w:t>
            </w:r>
          </w:p>
        </w:tc>
      </w:tr>
      <w:tr xmlns:wp14="http://schemas.microsoft.com/office/word/2010/wordml" w14:paraId="268A57ED" wp14:textId="77777777">
        <w:trPr>
          <w:cantSplit/>
        </w:trPr>
        <w:tc>
          <w:tcPr>
            <w:tcW w:w="1944" w:type="dxa"/>
            <w:vAlign w:val="center"/>
            <w:tcMar>
              <w:top w:w="65" w:type="dxa"/>
              <w:start w:w="80" w:type="dxa"/>
              <w:bottom w:w="65" w:type="dxa"/>
              <w:end w:w="80" w:type="dxa"/>
            </w:tcMar>
            <w:shd w:fill="FFFFFF"/>
          </w:tcPr>
          <w:p w14:paraId="55F128E3" wp14:textId="77777777">
            <w:pPr>
              <w:spacing w:after="0" w:line="221" w:lineRule="auto"/>
              <w:jc w:val="left"/>
            </w:pPr>
            <w:r/>
            <w:r>
              <w:rPr>
                <w:rFonts w:ascii="Aptos" w:hAnsi="Aptos"/>
                <w:b/>
                <w:color w:val="141414"/>
                <w:sz w:val="18"/>
              </w:rPr>
              <w:t>1. DT Classification</w:t>
            </w:r>
          </w:p>
        </w:tc>
        <w:tc>
          <w:tcPr>
            <w:tcW w:w="3960" w:type="dxa"/>
            <w:vAlign w:val="center"/>
            <w:tcMar>
              <w:top w:w="65" w:type="dxa"/>
              <w:start w:w="80" w:type="dxa"/>
              <w:bottom w:w="65" w:type="dxa"/>
              <w:end w:w="80" w:type="dxa"/>
            </w:tcMar>
            <w:shd w:fill="FFFFFF"/>
          </w:tcPr>
          <w:p w14:paraId="2ECD5CA5" wp14:textId="77777777">
            <w:pPr>
              <w:spacing w:after="0" w:line="221" w:lineRule="auto"/>
              <w:jc w:val="left"/>
            </w:pPr>
            <w:r/>
            <w:r>
              <w:rPr>
                <w:rFonts w:ascii="Aptos" w:hAnsi="Aptos"/>
                <w:b w:val="0"/>
                <w:color w:val="141414"/>
                <w:sz w:val="18"/>
              </w:rPr>
              <w:t>Digital Transformation, not digitalization. NVIDIA changed its profit mechanism and competitive boundary from gaming graphics to data-center AI systems; the revenue model remained transactional.</w:t>
            </w:r>
          </w:p>
        </w:tc>
        <w:tc>
          <w:tcPr>
            <w:tcW w:w="5112" w:type="dxa"/>
            <w:vAlign w:val="center"/>
            <w:tcMar>
              <w:top w:w="65" w:type="dxa"/>
              <w:start w:w="80" w:type="dxa"/>
              <w:bottom w:w="65" w:type="dxa"/>
              <w:end w:w="80" w:type="dxa"/>
            </w:tcMar>
            <w:shd w:fill="FFFFFF"/>
          </w:tcPr>
          <w:p w14:paraId="5E1B41BF" wp14:textId="77777777">
            <w:pPr>
              <w:spacing w:after="0" w:line="221" w:lineRule="auto"/>
              <w:jc w:val="left"/>
            </w:pPr>
            <w:r/>
            <w:r>
              <w:rPr>
                <w:rFonts w:ascii="Aptos" w:hAnsi="Aptos"/>
                <w:b w:val="0"/>
                <w:color w:val="141414"/>
                <w:sz w:val="18"/>
              </w:rPr>
              <w:t>Data Center rose from $6.70B of $16.68B revenue (40.2%) in FY2021 to $193.737B of $215.938B (89.7%) in FY2026. Gross margin rose from 62.3% to 71.1%; Networking reached $31.376B. In May 2026 NVIDIA stopped reporting Gaming separately.</w:t>
            </w:r>
          </w:p>
        </w:tc>
        <w:tc>
          <w:tcPr>
            <w:tcW w:w="3384" w:type="dxa"/>
            <w:vAlign w:val="center"/>
            <w:tcMar>
              <w:top w:w="65" w:type="dxa"/>
              <w:start w:w="80" w:type="dxa"/>
              <w:bottom w:w="65" w:type="dxa"/>
              <w:end w:w="80" w:type="dxa"/>
            </w:tcMar>
            <w:shd w:fill="FFFFFF"/>
          </w:tcPr>
          <w:p w14:paraId="201C4154" wp14:textId="77777777">
            <w:pPr>
              <w:spacing w:after="0" w:line="221" w:lineRule="auto"/>
              <w:jc w:val="left"/>
            </w:pPr>
            <w:r/>
            <w:r>
              <w:rPr>
                <w:rFonts w:ascii="Aptos" w:hAnsi="Aptos"/>
                <w:b w:val="0"/>
                <w:color w:val="141414"/>
                <w:sz w:val="18"/>
              </w:rPr>
              <w:t>NVIDIA Q4 FY2021 Earnings Release, Feb. 24, 2021; NVIDIA FY2026 Form 10-K, filed Feb. 25, 2026; NVIDIA Q1 FY2027 Financial Results, May 20, 2026; NVIDIA Mellanox release, Apr. 27, 2020.</w:t>
            </w:r>
          </w:p>
        </w:tc>
      </w:tr>
      <w:tr xmlns:wp14="http://schemas.microsoft.com/office/word/2010/wordml" w14:paraId="567EB16C" wp14:textId="77777777">
        <w:trPr>
          <w:cantSplit/>
        </w:trPr>
        <w:tc>
          <w:tcPr>
            <w:tcW w:w="1944" w:type="dxa"/>
            <w:vAlign w:val="center"/>
            <w:tcMar>
              <w:top w:w="65" w:type="dxa"/>
              <w:start w:w="80" w:type="dxa"/>
              <w:bottom w:w="65" w:type="dxa"/>
              <w:end w:w="80" w:type="dxa"/>
            </w:tcMar>
            <w:shd w:fill="EEF5FA"/>
          </w:tcPr>
          <w:p w14:paraId="63188448" wp14:textId="77777777">
            <w:pPr>
              <w:spacing w:after="0" w:line="221" w:lineRule="auto"/>
              <w:jc w:val="left"/>
            </w:pPr>
            <w:r/>
            <w:r>
              <w:rPr>
                <w:rFonts w:ascii="Aptos" w:hAnsi="Aptos"/>
                <w:b/>
                <w:color w:val="141414"/>
                <w:sz w:val="18"/>
              </w:rPr>
              <w:t>2. Platform / Pipeline</w:t>
            </w:r>
          </w:p>
        </w:tc>
        <w:tc>
          <w:tcPr>
            <w:tcW w:w="3960" w:type="dxa"/>
            <w:vAlign w:val="center"/>
            <w:tcMar>
              <w:top w:w="65" w:type="dxa"/>
              <w:start w:w="80" w:type="dxa"/>
              <w:bottom w:w="65" w:type="dxa"/>
              <w:end w:w="80" w:type="dxa"/>
            </w:tcMar>
            <w:shd w:fill="EEF5FA"/>
          </w:tcPr>
          <w:p w14:paraId="6CABE751" wp14:textId="77777777">
            <w:pPr>
              <w:spacing w:after="0" w:line="221" w:lineRule="auto"/>
              <w:jc w:val="left"/>
            </w:pPr>
            <w:r/>
            <w:r>
              <w:rPr>
                <w:rFonts w:ascii="Aptos" w:hAnsi="Aptos"/>
                <w:b w:val="0"/>
                <w:color w:val="141414"/>
                <w:sz w:val="18"/>
              </w:rPr>
              <w:t>A pipeline with platform-grade lock-in, not a matching platform. NVIDIA monetizes hardware while its free developer ecosystem increases hardware value and switching costs.</w:t>
            </w:r>
          </w:p>
        </w:tc>
        <w:tc>
          <w:tcPr>
            <w:tcW w:w="5112" w:type="dxa"/>
            <w:vAlign w:val="center"/>
            <w:tcMar>
              <w:top w:w="65" w:type="dxa"/>
              <w:start w:w="80" w:type="dxa"/>
              <w:bottom w:w="65" w:type="dxa"/>
              <w:end w:w="80" w:type="dxa"/>
            </w:tcMar>
            <w:shd w:fill="EEF5FA"/>
          </w:tcPr>
          <w:p w14:paraId="48D2076A" wp14:textId="77777777">
            <w:pPr>
              <w:spacing w:after="0" w:line="221" w:lineRule="auto"/>
              <w:jc w:val="left"/>
            </w:pPr>
            <w:r/>
            <w:r>
              <w:rPr>
                <w:rFonts w:ascii="Aptos" w:hAnsi="Aptos"/>
                <w:b w:val="0"/>
                <w:color w:val="141414"/>
                <w:sz w:val="18"/>
              </w:rPr>
              <w:t>Developers using CUDA and NVIDIA tools grew from 2.2M in FY2021 to 7.5M+ in FY2026; supported applications grew from about 600 to 6,000. CUDA runs on all NVIDIA GPUs. Direct software revenue is not disclosed as a material share.</w:t>
            </w:r>
          </w:p>
        </w:tc>
        <w:tc>
          <w:tcPr>
            <w:tcW w:w="3384" w:type="dxa"/>
            <w:vAlign w:val="center"/>
            <w:tcMar>
              <w:top w:w="65" w:type="dxa"/>
              <w:start w:w="80" w:type="dxa"/>
              <w:bottom w:w="65" w:type="dxa"/>
              <w:end w:w="80" w:type="dxa"/>
            </w:tcMar>
            <w:shd w:fill="EEF5FA"/>
          </w:tcPr>
          <w:p w14:paraId="72D223E0" wp14:textId="77777777">
            <w:pPr>
              <w:spacing w:after="0" w:line="221" w:lineRule="auto"/>
              <w:jc w:val="left"/>
            </w:pPr>
            <w:r/>
            <w:r>
              <w:rPr>
                <w:rFonts w:ascii="Aptos" w:hAnsi="Aptos"/>
                <w:b w:val="0"/>
                <w:color w:val="141414"/>
                <w:sz w:val="18"/>
              </w:rPr>
              <w:t>NVIDIA FY2021 Form 10-K, Item 1; NVIDIA FY2026 Form 10-K, Item 1, filed Feb. 25, 2026; NVIDIA Q3 FY2025 Earnings Call, Nov. 20, 2024.</w:t>
            </w:r>
          </w:p>
        </w:tc>
      </w:tr>
      <w:tr xmlns:wp14="http://schemas.microsoft.com/office/word/2010/wordml" w14:paraId="3846A167" wp14:textId="77777777">
        <w:trPr>
          <w:cantSplit/>
        </w:trPr>
        <w:tc>
          <w:tcPr>
            <w:tcW w:w="1944" w:type="dxa"/>
            <w:vAlign w:val="center"/>
            <w:tcMar>
              <w:top w:w="65" w:type="dxa"/>
              <w:start w:w="80" w:type="dxa"/>
              <w:bottom w:w="65" w:type="dxa"/>
              <w:end w:w="80" w:type="dxa"/>
            </w:tcMar>
            <w:shd w:fill="FFFFFF"/>
          </w:tcPr>
          <w:p w14:paraId="3C7C8A9F" wp14:textId="77777777">
            <w:pPr>
              <w:spacing w:after="0" w:line="221" w:lineRule="auto"/>
              <w:jc w:val="left"/>
            </w:pPr>
            <w:r/>
            <w:r>
              <w:rPr>
                <w:rFonts w:ascii="Aptos" w:hAnsi="Aptos"/>
                <w:b/>
                <w:color w:val="141414"/>
                <w:sz w:val="18"/>
              </w:rPr>
              <w:t>3. Revenue Architecture</w:t>
            </w:r>
          </w:p>
        </w:tc>
        <w:tc>
          <w:tcPr>
            <w:tcW w:w="3960" w:type="dxa"/>
            <w:vAlign w:val="center"/>
            <w:tcMar>
              <w:top w:w="65" w:type="dxa"/>
              <w:start w:w="80" w:type="dxa"/>
              <w:bottom w:w="65" w:type="dxa"/>
              <w:end w:w="80" w:type="dxa"/>
            </w:tcMar>
            <w:shd w:fill="FFFFFF"/>
          </w:tcPr>
          <w:p w14:paraId="0BB144DE" wp14:textId="77777777">
            <w:pPr>
              <w:spacing w:after="0" w:line="221" w:lineRule="auto"/>
              <w:jc w:val="left"/>
            </w:pPr>
            <w:r/>
            <w:r>
              <w:rPr>
                <w:rFonts w:ascii="Aptos" w:hAnsi="Aptos"/>
                <w:b w:val="0"/>
                <w:color w:val="141414"/>
                <w:sz w:val="18"/>
              </w:rPr>
              <w:t>Transactional, hardware-dominant revenue with high customer concentration. Recurring software exists, but CAC:LTV and material software mix are insufficient public data.</w:t>
            </w:r>
          </w:p>
        </w:tc>
        <w:tc>
          <w:tcPr>
            <w:tcW w:w="5112" w:type="dxa"/>
            <w:vAlign w:val="center"/>
            <w:tcMar>
              <w:top w:w="65" w:type="dxa"/>
              <w:start w:w="80" w:type="dxa"/>
              <w:bottom w:w="65" w:type="dxa"/>
              <w:end w:w="80" w:type="dxa"/>
            </w:tcMar>
            <w:shd w:fill="FFFFFF"/>
          </w:tcPr>
          <w:p w14:paraId="70282EFB" wp14:textId="77777777">
            <w:pPr>
              <w:spacing w:after="0" w:line="221" w:lineRule="auto"/>
              <w:jc w:val="left"/>
            </w:pPr>
            <w:r/>
            <w:r>
              <w:rPr>
                <w:rFonts w:ascii="Aptos" w:hAnsi="Aptos"/>
                <w:b w:val="0"/>
                <w:color w:val="141414"/>
                <w:sz w:val="18"/>
              </w:rPr>
              <w:t>FY2026 revenue was $215.938B; Data Center was $193.737B (89.7%). One direct customer represented 22% and another 14%. Paid NVIDIA AI Enterprise and vGPU licenses exist, but software revenue is not separately reported in the annual segment table.</w:t>
            </w:r>
          </w:p>
        </w:tc>
        <w:tc>
          <w:tcPr>
            <w:tcW w:w="3384" w:type="dxa"/>
            <w:vAlign w:val="center"/>
            <w:tcMar>
              <w:top w:w="65" w:type="dxa"/>
              <w:start w:w="80" w:type="dxa"/>
              <w:bottom w:w="65" w:type="dxa"/>
              <w:end w:w="80" w:type="dxa"/>
            </w:tcMar>
            <w:shd w:fill="FFFFFF"/>
          </w:tcPr>
          <w:p w14:paraId="3CE1F2A9" wp14:textId="77777777">
            <w:pPr>
              <w:spacing w:after="0" w:line="221" w:lineRule="auto"/>
              <w:jc w:val="left"/>
            </w:pPr>
            <w:r/>
            <w:r>
              <w:rPr>
                <w:rFonts w:ascii="Aptos" w:hAnsi="Aptos"/>
                <w:b w:val="0"/>
                <w:color w:val="141414"/>
                <w:sz w:val="18"/>
              </w:rPr>
              <w:t>NVIDIA FY2026 Form 10-K, filed Feb. 25, 2026, Item 1, MD&amp;A, Note 16 and revenue-concentration disclosure. Add verified PDF page numbers before submission.</w:t>
            </w:r>
          </w:p>
        </w:tc>
      </w:tr>
      <w:tr xmlns:wp14="http://schemas.microsoft.com/office/word/2010/wordml" w14:paraId="7B66F683" wp14:textId="77777777">
        <w:trPr>
          <w:cantSplit/>
        </w:trPr>
        <w:tc>
          <w:tcPr>
            <w:tcW w:w="1944" w:type="dxa"/>
            <w:vAlign w:val="center"/>
            <w:tcMar>
              <w:top w:w="65" w:type="dxa"/>
              <w:start w:w="80" w:type="dxa"/>
              <w:bottom w:w="65" w:type="dxa"/>
              <w:end w:w="80" w:type="dxa"/>
            </w:tcMar>
            <w:shd w:fill="EEF5FA"/>
          </w:tcPr>
          <w:p w14:paraId="39B951A8" wp14:textId="77777777">
            <w:pPr>
              <w:spacing w:after="0" w:line="221" w:lineRule="auto"/>
              <w:jc w:val="left"/>
            </w:pPr>
            <w:r/>
            <w:r>
              <w:rPr>
                <w:rFonts w:ascii="Aptos" w:hAnsi="Aptos"/>
                <w:b/>
                <w:color w:val="141414"/>
                <w:sz w:val="18"/>
              </w:rPr>
              <w:t>4. AI Moats &amp; Portfolio</w:t>
            </w:r>
          </w:p>
        </w:tc>
        <w:tc>
          <w:tcPr>
            <w:tcW w:w="3960" w:type="dxa"/>
            <w:vAlign w:val="center"/>
            <w:tcMar>
              <w:top w:w="65" w:type="dxa"/>
              <w:start w:w="80" w:type="dxa"/>
              <w:bottom w:w="65" w:type="dxa"/>
              <w:end w:w="80" w:type="dxa"/>
            </w:tcMar>
            <w:shd w:fill="EEF5FA"/>
          </w:tcPr>
          <w:p w14:paraId="30CBCF4F" wp14:textId="77777777">
            <w:pPr>
              <w:spacing w:after="0" w:line="221" w:lineRule="auto"/>
              <w:jc w:val="left"/>
            </w:pPr>
            <w:r/>
            <w:r>
              <w:rPr>
                <w:rFonts w:ascii="Aptos" w:hAnsi="Aptos"/>
                <w:b w:val="0"/>
                <w:color w:val="141414"/>
                <w:sz w:val="18"/>
              </w:rPr>
              <w:t>The moat is integrated silicon + CUDA/software + networking + systems. NVIDIA builds the core stack, bought Mellanox, and partners for fabrication and manufacturing.</w:t>
            </w:r>
          </w:p>
        </w:tc>
        <w:tc>
          <w:tcPr>
            <w:tcW w:w="5112" w:type="dxa"/>
            <w:vAlign w:val="center"/>
            <w:tcMar>
              <w:top w:w="65" w:type="dxa"/>
              <w:start w:w="80" w:type="dxa"/>
              <w:bottom w:w="65" w:type="dxa"/>
              <w:end w:w="80" w:type="dxa"/>
            </w:tcMar>
            <w:shd w:fill="EEF5FA"/>
          </w:tcPr>
          <w:p w14:paraId="62960410" wp14:textId="77777777">
            <w:pPr>
              <w:spacing w:after="0" w:line="221" w:lineRule="auto"/>
              <w:jc w:val="left"/>
            </w:pPr>
            <w:r/>
            <w:r>
              <w:rPr>
                <w:rFonts w:ascii="Aptos" w:hAnsi="Aptos"/>
                <w:b w:val="0"/>
                <w:color w:val="141414"/>
                <w:sz w:val="18"/>
              </w:rPr>
              <w:t>FY2026 10-K reports hundreds of libraries/SDKs and 7.5M+ developers. Blackwell spans GPUs, CPUs, DPUs, interconnects, systems and networking. Mellanox was acquired for $7B; FY2026 Networking revenue was $31.376B.</w:t>
            </w:r>
          </w:p>
        </w:tc>
        <w:tc>
          <w:tcPr>
            <w:tcW w:w="3384" w:type="dxa"/>
            <w:vAlign w:val="center"/>
            <w:tcMar>
              <w:top w:w="65" w:type="dxa"/>
              <w:start w:w="80" w:type="dxa"/>
              <w:bottom w:w="65" w:type="dxa"/>
              <w:end w:w="80" w:type="dxa"/>
            </w:tcMar>
            <w:shd w:fill="EEF5FA"/>
          </w:tcPr>
          <w:p w14:paraId="25E8CF1E" wp14:textId="77777777">
            <w:pPr>
              <w:spacing w:after="0" w:line="221" w:lineRule="auto"/>
              <w:jc w:val="left"/>
            </w:pPr>
            <w:r/>
            <w:r>
              <w:rPr>
                <w:rFonts w:ascii="Aptos" w:hAnsi="Aptos"/>
                <w:b w:val="0"/>
                <w:color w:val="141414"/>
                <w:sz w:val="18"/>
              </w:rPr>
              <w:t>NVIDIA FY2026 Form 10-K, filed Feb. 25, 2026; NVIDIA, “NVIDIA Completes Acquisition of Mellanox,” Apr. 27, 2020.</w:t>
            </w:r>
          </w:p>
        </w:tc>
      </w:tr>
    </w:tbl>
    <w:p xmlns:wp14="http://schemas.microsoft.com/office/word/2010/wordml" w14:paraId="5A39BBE3" wp14:textId="77777777">
      <w:r>
        <w:br w:type="page"/>
      </w:r>
    </w:p>
    <w:p xmlns:wp14="http://schemas.microsoft.com/office/word/2010/wordml" w14:paraId="332B7E0D" wp14:textId="77777777">
      <w:pPr>
        <w:spacing w:after="0"/>
      </w:pPr>
      <w:r>
        <w:rPr>
          <w:rFonts w:ascii="Aptos Display" w:hAnsi="Aptos Display"/>
          <w:b/>
          <w:color w:val="1F4E79"/>
          <w:sz w:val="36"/>
        </w:rPr>
        <w:t>APPENDIX  |  FRAMEWORK EVIDENCE LOG</w:t>
      </w:r>
    </w:p>
    <w:p xmlns:wp14="http://schemas.microsoft.com/office/word/2010/wordml" w14:paraId="0145FD45" wp14:textId="77777777">
      <w:pPr>
        <w:spacing w:after="60"/>
      </w:pPr>
      <w:r>
        <w:rPr>
          <w:color w:val="666666"/>
          <w:sz w:val="19"/>
        </w:rPr>
        <w:t>Rows 5–8 · Final source verification remains the responsibility of the team</w:t>
      </w:r>
    </w:p>
    <w:p xmlns:wp14="http://schemas.microsoft.com/office/word/2010/wordml" w14:paraId="41C8F396" wp14:textId="77777777">
      <w:pPr>
        <w:spacing w:before="0" w:after="40"/>
        <w:pBdr>
          <w:bottom w:val="single" w:color="1F4E79" w:sz="8" w:space="1"/>
        </w:pBdr>
      </w:pPr>
    </w:p>
    <w:tbl>
      <w:tblPr>
        <w:tblW w:w="0" w:type="auto"/>
        <w:jc w:val="center"/>
        <w:tblLayout w:type="fixed"/>
        <w:tblLook w:val="04A0" w:firstRow="1" w:lastRow="0" w:firstColumn="1" w:lastColumn="0" w:noHBand="0" w:noVBand="1"/>
      </w:tblPr>
      <w:tblGrid>
        <w:gridCol w:w="1944"/>
        <w:gridCol w:w="3960"/>
        <w:gridCol w:w="5112"/>
        <w:gridCol w:w="3384"/>
      </w:tblGrid>
      <w:tr xmlns:wp14="http://schemas.microsoft.com/office/word/2010/wordml" w14:paraId="4424846C" wp14:textId="77777777">
        <w:trPr>
          <w:tblHeader w:val="true"/>
          <w:cantSplit/>
        </w:trPr>
        <w:tc>
          <w:tcPr>
            <w:tcW w:w="3614" w:type="dxa"/>
            <w:vAlign w:val="center"/>
            <w:tcMar>
              <w:top w:w="65" w:type="dxa"/>
              <w:start w:w="80" w:type="dxa"/>
              <w:bottom w:w="65" w:type="dxa"/>
              <w:end w:w="80" w:type="dxa"/>
            </w:tcMar>
            <w:shd w:fill="1F4E79"/>
          </w:tcPr>
          <w:p w14:paraId="6B4E547C" wp14:textId="77777777">
            <w:pPr>
              <w:spacing w:after="0" w:line="221" w:lineRule="auto"/>
              <w:jc w:val="center"/>
            </w:pPr>
            <w:r/>
            <w:r>
              <w:rPr>
                <w:rFonts w:ascii="Aptos" w:hAnsi="Aptos"/>
                <w:b/>
                <w:color w:val="FFFFFF"/>
                <w:sz w:val="18"/>
              </w:rPr>
              <w:t>FRAMEWORK</w:t>
            </w:r>
          </w:p>
        </w:tc>
        <w:tc>
          <w:tcPr>
            <w:tcW w:w="3614" w:type="dxa"/>
            <w:vAlign w:val="center"/>
            <w:tcMar>
              <w:top w:w="65" w:type="dxa"/>
              <w:start w:w="80" w:type="dxa"/>
              <w:bottom w:w="65" w:type="dxa"/>
              <w:end w:w="80" w:type="dxa"/>
            </w:tcMar>
            <w:shd w:fill="1F4E79"/>
          </w:tcPr>
          <w:p w14:paraId="790E3F69" wp14:textId="77777777">
            <w:pPr>
              <w:spacing w:after="0" w:line="221" w:lineRule="auto"/>
              <w:jc w:val="center"/>
            </w:pPr>
            <w:r/>
            <w:r>
              <w:rPr>
                <w:rFonts w:ascii="Aptos" w:hAnsi="Aptos"/>
                <w:b/>
                <w:color w:val="FFFFFF"/>
                <w:sz w:val="18"/>
              </w:rPr>
              <w:t>VERDICT</w:t>
            </w:r>
          </w:p>
        </w:tc>
        <w:tc>
          <w:tcPr>
            <w:tcW w:w="3614" w:type="dxa"/>
            <w:vAlign w:val="center"/>
            <w:tcMar>
              <w:top w:w="65" w:type="dxa"/>
              <w:start w:w="80" w:type="dxa"/>
              <w:bottom w:w="65" w:type="dxa"/>
              <w:end w:w="80" w:type="dxa"/>
            </w:tcMar>
            <w:shd w:fill="1F4E79"/>
          </w:tcPr>
          <w:p w14:paraId="64162AA8" wp14:textId="77777777">
            <w:pPr>
              <w:spacing w:after="0" w:line="221" w:lineRule="auto"/>
              <w:jc w:val="center"/>
            </w:pPr>
            <w:r/>
            <w:r>
              <w:rPr>
                <w:rFonts w:ascii="Aptos" w:hAnsi="Aptos"/>
                <w:b/>
                <w:color w:val="FFFFFF"/>
                <w:sz w:val="18"/>
              </w:rPr>
              <w:t>EVIDENCE</w:t>
            </w:r>
          </w:p>
        </w:tc>
        <w:tc>
          <w:tcPr>
            <w:tcW w:w="3614" w:type="dxa"/>
            <w:vAlign w:val="center"/>
            <w:tcMar>
              <w:top w:w="65" w:type="dxa"/>
              <w:start w:w="80" w:type="dxa"/>
              <w:bottom w:w="65" w:type="dxa"/>
              <w:end w:w="80" w:type="dxa"/>
            </w:tcMar>
            <w:shd w:fill="1F4E79"/>
          </w:tcPr>
          <w:p w14:paraId="28D815D8" wp14:textId="77777777">
            <w:pPr>
              <w:spacing w:after="0" w:line="221" w:lineRule="auto"/>
              <w:jc w:val="center"/>
            </w:pPr>
            <w:r/>
            <w:r>
              <w:rPr>
                <w:rFonts w:ascii="Aptos" w:hAnsi="Aptos"/>
                <w:b/>
                <w:color w:val="FFFFFF"/>
                <w:sz w:val="18"/>
              </w:rPr>
              <w:t>SOURCE</w:t>
            </w:r>
          </w:p>
        </w:tc>
      </w:tr>
      <w:tr xmlns:wp14="http://schemas.microsoft.com/office/word/2010/wordml" w14:paraId="693FBF11" wp14:textId="77777777">
        <w:trPr>
          <w:cantSplit/>
        </w:trPr>
        <w:tc>
          <w:tcPr>
            <w:tcW w:w="1944" w:type="dxa"/>
            <w:vAlign w:val="center"/>
            <w:tcMar>
              <w:top w:w="65" w:type="dxa"/>
              <w:start w:w="80" w:type="dxa"/>
              <w:bottom w:w="65" w:type="dxa"/>
              <w:end w:w="80" w:type="dxa"/>
            </w:tcMar>
            <w:shd w:fill="FFFFFF"/>
          </w:tcPr>
          <w:p w14:paraId="62B20DF8" wp14:textId="77777777">
            <w:pPr>
              <w:spacing w:after="0" w:line="221" w:lineRule="auto"/>
              <w:jc w:val="left"/>
            </w:pPr>
            <w:r/>
            <w:r>
              <w:rPr>
                <w:rFonts w:ascii="Aptos" w:hAnsi="Aptos"/>
                <w:b/>
                <w:color w:val="141414"/>
                <w:sz w:val="18"/>
              </w:rPr>
              <w:t>5. Digital Maturity</w:t>
            </w:r>
          </w:p>
        </w:tc>
        <w:tc>
          <w:tcPr>
            <w:tcW w:w="3960" w:type="dxa"/>
            <w:vAlign w:val="center"/>
            <w:tcMar>
              <w:top w:w="65" w:type="dxa"/>
              <w:start w:w="80" w:type="dxa"/>
              <w:bottom w:w="65" w:type="dxa"/>
              <w:end w:w="80" w:type="dxa"/>
            </w:tcMar>
            <w:shd w:fill="FFFFFF"/>
          </w:tcPr>
          <w:p w14:paraId="5B57CCD2" wp14:textId="77777777">
            <w:pPr>
              <w:spacing w:after="0" w:line="221" w:lineRule="auto"/>
              <w:jc w:val="left"/>
            </w:pPr>
            <w:r/>
            <w:r>
              <w:rPr>
                <w:rFonts w:ascii="Aptos" w:hAnsi="Aptos"/>
                <w:b w:val="0"/>
                <w:color w:val="141414"/>
                <w:sz w:val="18"/>
              </w:rPr>
              <w:t>Provisional pending exact Week 5 dimension labels. NVIDIA shows very high internal technology and execution maturity; the strategic durability constraint is concentrated customers able to build substitutes.</w:t>
            </w:r>
          </w:p>
        </w:tc>
        <w:tc>
          <w:tcPr>
            <w:tcW w:w="5112" w:type="dxa"/>
            <w:vAlign w:val="center"/>
            <w:tcMar>
              <w:top w:w="65" w:type="dxa"/>
              <w:start w:w="80" w:type="dxa"/>
              <w:bottom w:w="65" w:type="dxa"/>
              <w:end w:w="80" w:type="dxa"/>
            </w:tcMar>
            <w:shd w:fill="FFFFFF"/>
          </w:tcPr>
          <w:p w14:paraId="5E9BA0D8" wp14:textId="77777777">
            <w:pPr>
              <w:spacing w:after="0" w:line="221" w:lineRule="auto"/>
              <w:jc w:val="left"/>
            </w:pPr>
            <w:r/>
            <w:r>
              <w:rPr>
                <w:rFonts w:ascii="Aptos" w:hAnsi="Aptos"/>
                <w:b w:val="0"/>
                <w:color w:val="141414"/>
                <w:sz w:val="18"/>
              </w:rPr>
              <w:t>FY2026 R&amp;D was $18.497B (+43%); NVIDIA reports 7.5M+ developers and a full-stack platform. Top two direct customers represented 36% of revenue, and the 10-K states some customers can develop replacement solutions.</w:t>
            </w:r>
          </w:p>
        </w:tc>
        <w:tc>
          <w:tcPr>
            <w:tcW w:w="3384" w:type="dxa"/>
            <w:vAlign w:val="center"/>
            <w:tcMar>
              <w:top w:w="65" w:type="dxa"/>
              <w:start w:w="80" w:type="dxa"/>
              <w:bottom w:w="65" w:type="dxa"/>
              <w:end w:w="80" w:type="dxa"/>
            </w:tcMar>
            <w:shd w:fill="FFFFFF"/>
          </w:tcPr>
          <w:p w14:paraId="163AE399" wp14:textId="77777777">
            <w:pPr>
              <w:spacing w:after="0" w:line="221" w:lineRule="auto"/>
              <w:jc w:val="left"/>
            </w:pPr>
            <w:r/>
            <w:r>
              <w:rPr>
                <w:rFonts w:ascii="Aptos" w:hAnsi="Aptos"/>
                <w:b w:val="0"/>
                <w:color w:val="141414"/>
                <w:sz w:val="18"/>
              </w:rPr>
              <w:t>NVIDIA FY2026 Form 10-K, filed Feb. 25, 2026; Google Cloud, May 18, 2016; Meta AI, May 18, 2023; OpenAI, Oct. 13, 2025. Final row requires exact course dimension names and 1–5 mapping.</w:t>
            </w:r>
          </w:p>
        </w:tc>
      </w:tr>
      <w:tr xmlns:wp14="http://schemas.microsoft.com/office/word/2010/wordml" w14:paraId="220439FA" wp14:textId="77777777">
        <w:trPr>
          <w:cantSplit/>
        </w:trPr>
        <w:tc>
          <w:tcPr>
            <w:tcW w:w="1944" w:type="dxa"/>
            <w:vAlign w:val="center"/>
            <w:tcMar>
              <w:top w:w="65" w:type="dxa"/>
              <w:start w:w="80" w:type="dxa"/>
              <w:bottom w:w="65" w:type="dxa"/>
              <w:end w:w="80" w:type="dxa"/>
            </w:tcMar>
            <w:shd w:fill="EEF5FA"/>
          </w:tcPr>
          <w:p w14:paraId="224E5DCC" wp14:textId="77777777">
            <w:pPr>
              <w:spacing w:after="0" w:line="221" w:lineRule="auto"/>
              <w:jc w:val="left"/>
            </w:pPr>
            <w:r/>
            <w:r>
              <w:rPr>
                <w:rFonts w:ascii="Aptos" w:hAnsi="Aptos"/>
                <w:b/>
                <w:color w:val="141414"/>
                <w:sz w:val="18"/>
              </w:rPr>
              <w:t>6. Roadmap Quality</w:t>
            </w:r>
          </w:p>
        </w:tc>
        <w:tc>
          <w:tcPr>
            <w:tcW w:w="3960" w:type="dxa"/>
            <w:vAlign w:val="center"/>
            <w:tcMar>
              <w:top w:w="65" w:type="dxa"/>
              <w:start w:w="80" w:type="dxa"/>
              <w:bottom w:w="65" w:type="dxa"/>
              <w:end w:w="80" w:type="dxa"/>
            </w:tcMar>
            <w:shd w:fill="EEF5FA"/>
          </w:tcPr>
          <w:p w14:paraId="56B38FA9" wp14:textId="77777777">
            <w:pPr>
              <w:spacing w:after="0" w:line="221" w:lineRule="auto"/>
              <w:jc w:val="left"/>
            </w:pPr>
            <w:r/>
            <w:r>
              <w:rPr>
                <w:rFonts w:ascii="Aptos" w:hAnsi="Aptos"/>
                <w:b w:val="0"/>
                <w:color w:val="141414"/>
                <w:sz w:val="18"/>
              </w:rPr>
              <w:t>Crawl/Walk/Run sequencing was honored: software preceded AI specialization, integrated systems, networking, and then commercial scale.</w:t>
            </w:r>
          </w:p>
        </w:tc>
        <w:tc>
          <w:tcPr>
            <w:tcW w:w="5112" w:type="dxa"/>
            <w:vAlign w:val="center"/>
            <w:tcMar>
              <w:top w:w="65" w:type="dxa"/>
              <w:start w:w="80" w:type="dxa"/>
              <w:bottom w:w="65" w:type="dxa"/>
              <w:end w:w="80" w:type="dxa"/>
            </w:tcMar>
            <w:shd w:fill="EEF5FA"/>
          </w:tcPr>
          <w:p w14:paraId="731C9D84" wp14:textId="77777777">
            <w:pPr>
              <w:spacing w:after="0" w:line="221" w:lineRule="auto"/>
              <w:jc w:val="left"/>
            </w:pPr>
            <w:r/>
            <w:r>
              <w:rPr>
                <w:rFonts w:ascii="Aptos" w:hAnsi="Aptos"/>
                <w:b w:val="0"/>
                <w:color w:val="141414"/>
                <w:sz w:val="18"/>
              </w:rPr>
              <w:t>CUDA introduced Nov. 2006; cuDNN Sept. 7, 2014; DGX-1 Apr. 5, 2016; Mellanox completed Apr. 27, 2020 for $7B; FY2026 Data Center revenue reached $193.737B. Board oversight includes strategic execution risk.</w:t>
            </w:r>
          </w:p>
        </w:tc>
        <w:tc>
          <w:tcPr>
            <w:tcW w:w="3384" w:type="dxa"/>
            <w:vAlign w:val="center"/>
            <w:tcMar>
              <w:top w:w="65" w:type="dxa"/>
              <w:start w:w="80" w:type="dxa"/>
              <w:bottom w:w="65" w:type="dxa"/>
              <w:end w:w="80" w:type="dxa"/>
            </w:tcMar>
            <w:shd w:fill="EEF5FA"/>
          </w:tcPr>
          <w:p w14:paraId="74421CED" wp14:textId="77777777">
            <w:pPr>
              <w:spacing w:after="0" w:line="221" w:lineRule="auto"/>
              <w:jc w:val="left"/>
            </w:pPr>
            <w:r/>
            <w:r>
              <w:rPr>
                <w:rFonts w:ascii="Aptos" w:hAnsi="Aptos"/>
                <w:b w:val="0"/>
                <w:color w:val="141414"/>
                <w:sz w:val="18"/>
              </w:rPr>
              <w:t>NVIDIA CUDA C++ Programming Guide; NVIDIA Technical Blog, Sept. 7, 2014; NVIDIA DGX-1 release, Apr. 5, 2016; NVIDIA Mellanox release, Apr. 27, 2020; NVIDIA FY2026 Form 10-K; NVIDIA 2026 Proxy Statement, May 12, 2026, p. 27.</w:t>
            </w:r>
          </w:p>
        </w:tc>
      </w:tr>
      <w:tr xmlns:wp14="http://schemas.microsoft.com/office/word/2010/wordml" w14:paraId="04983077" wp14:textId="77777777">
        <w:trPr>
          <w:cantSplit/>
        </w:trPr>
        <w:tc>
          <w:tcPr>
            <w:tcW w:w="1944" w:type="dxa"/>
            <w:vAlign w:val="center"/>
            <w:tcMar>
              <w:top w:w="65" w:type="dxa"/>
              <w:start w:w="80" w:type="dxa"/>
              <w:bottom w:w="65" w:type="dxa"/>
              <w:end w:w="80" w:type="dxa"/>
            </w:tcMar>
            <w:shd w:fill="FFFFFF"/>
          </w:tcPr>
          <w:p w14:paraId="36D488F0" wp14:textId="77777777">
            <w:pPr>
              <w:spacing w:after="0" w:line="221" w:lineRule="auto"/>
              <w:jc w:val="left"/>
            </w:pPr>
            <w:r/>
            <w:r>
              <w:rPr>
                <w:rFonts w:ascii="Aptos" w:hAnsi="Aptos"/>
                <w:b/>
                <w:color w:val="141414"/>
                <w:sz w:val="18"/>
              </w:rPr>
              <w:t>7. KPI Validity</w:t>
            </w:r>
          </w:p>
        </w:tc>
        <w:tc>
          <w:tcPr>
            <w:tcW w:w="3960" w:type="dxa"/>
            <w:vAlign w:val="center"/>
            <w:tcMar>
              <w:top w:w="65" w:type="dxa"/>
              <w:start w:w="80" w:type="dxa"/>
              <w:bottom w:w="65" w:type="dxa"/>
              <w:end w:w="80" w:type="dxa"/>
            </w:tcMar>
            <w:shd w:fill="FFFFFF"/>
          </w:tcPr>
          <w:p w14:paraId="6776D00F" wp14:textId="77777777">
            <w:pPr>
              <w:spacing w:after="0" w:line="221" w:lineRule="auto"/>
              <w:jc w:val="left"/>
            </w:pPr>
            <w:r/>
            <w:r>
              <w:rPr>
                <w:rFonts w:ascii="Aptos" w:hAnsi="Aptos"/>
                <w:b w:val="0"/>
                <w:color w:val="141414"/>
                <w:sz w:val="18"/>
              </w:rPr>
              <w:t>Public KPIs are predominantly lagging. The missing leading indicator is NVIDIA’s estimated share of each top customer’s newly committed accelerator capacity.</w:t>
            </w:r>
          </w:p>
        </w:tc>
        <w:tc>
          <w:tcPr>
            <w:tcW w:w="5112" w:type="dxa"/>
            <w:vAlign w:val="center"/>
            <w:tcMar>
              <w:top w:w="65" w:type="dxa"/>
              <w:start w:w="80" w:type="dxa"/>
              <w:bottom w:w="65" w:type="dxa"/>
              <w:end w:w="80" w:type="dxa"/>
            </w:tcMar>
            <w:shd w:fill="FFFFFF"/>
          </w:tcPr>
          <w:p w14:paraId="63FE346D" wp14:textId="77777777">
            <w:pPr>
              <w:spacing w:after="0" w:line="221" w:lineRule="auto"/>
              <w:jc w:val="left"/>
            </w:pPr>
            <w:r/>
            <w:r>
              <w:rPr>
                <w:rFonts w:ascii="Aptos" w:hAnsi="Aptos"/>
                <w:b w:val="0"/>
                <w:color w:val="141414"/>
                <w:sz w:val="18"/>
              </w:rPr>
              <w:t>Q2 FY2027 revenue was $96.2B and Data Center revenue $89.0B; FY2026 top two direct customers represented 36%. Google TPU, Meta MTIA, Microsoft Maia, and OpenAI/Broadcom show major buyers can allocate new capacity to substitutes.</w:t>
            </w:r>
          </w:p>
        </w:tc>
        <w:tc>
          <w:tcPr>
            <w:tcW w:w="3384" w:type="dxa"/>
            <w:vAlign w:val="center"/>
            <w:tcMar>
              <w:top w:w="65" w:type="dxa"/>
              <w:start w:w="80" w:type="dxa"/>
              <w:bottom w:w="65" w:type="dxa"/>
              <w:end w:w="80" w:type="dxa"/>
            </w:tcMar>
            <w:shd w:fill="FFFFFF"/>
          </w:tcPr>
          <w:p w14:paraId="343390E9" wp14:textId="77777777">
            <w:pPr>
              <w:spacing w:after="0" w:line="221" w:lineRule="auto"/>
              <w:jc w:val="left"/>
            </w:pPr>
            <w:r/>
            <w:r>
              <w:rPr>
                <w:rFonts w:ascii="Aptos" w:hAnsi="Aptos"/>
                <w:b w:val="0"/>
                <w:color w:val="141414"/>
                <w:sz w:val="18"/>
              </w:rPr>
              <w:t>NVIDIA Q2 FY2027 Financial Results, Aug. 26, 2026; NVIDIA FY2026 Form 10-K, p. 78; Google Cloud, May 18, 2016; Meta AI, May 18, 2023; Microsoft Source, Nov. 15, 2023; OpenAI, Oct. 13, 2025.</w:t>
            </w:r>
          </w:p>
        </w:tc>
      </w:tr>
      <w:tr xmlns:wp14="http://schemas.microsoft.com/office/word/2010/wordml" w14:paraId="5FB8FAAB" wp14:textId="77777777">
        <w:trPr>
          <w:cantSplit/>
        </w:trPr>
        <w:tc>
          <w:tcPr>
            <w:tcW w:w="1944" w:type="dxa"/>
            <w:vAlign w:val="center"/>
            <w:tcMar>
              <w:top w:w="65" w:type="dxa"/>
              <w:start w:w="80" w:type="dxa"/>
              <w:bottom w:w="65" w:type="dxa"/>
              <w:end w:w="80" w:type="dxa"/>
            </w:tcMar>
            <w:shd w:fill="EEF5FA"/>
          </w:tcPr>
          <w:p w14:paraId="7773B36F" wp14:textId="77777777">
            <w:pPr>
              <w:spacing w:after="0" w:line="221" w:lineRule="auto"/>
              <w:jc w:val="left"/>
            </w:pPr>
            <w:r/>
            <w:r>
              <w:rPr>
                <w:rFonts w:ascii="Aptos" w:hAnsi="Aptos"/>
                <w:b/>
                <w:color w:val="141414"/>
                <w:sz w:val="18"/>
              </w:rPr>
              <w:t>8. Case Pattern Match</w:t>
            </w:r>
          </w:p>
        </w:tc>
        <w:tc>
          <w:tcPr>
            <w:tcW w:w="3960" w:type="dxa"/>
            <w:vAlign w:val="center"/>
            <w:tcMar>
              <w:top w:w="65" w:type="dxa"/>
              <w:start w:w="80" w:type="dxa"/>
              <w:bottom w:w="65" w:type="dxa"/>
              <w:end w:w="80" w:type="dxa"/>
            </w:tcMar>
            <w:shd w:fill="EEF5FA"/>
          </w:tcPr>
          <w:p w14:paraId="131C1662" wp14:textId="77777777">
            <w:pPr>
              <w:spacing w:after="0" w:line="221" w:lineRule="auto"/>
              <w:jc w:val="left"/>
            </w:pPr>
            <w:r/>
            <w:r>
              <w:rPr>
                <w:rFonts w:ascii="Aptos" w:hAnsi="Aptos"/>
                <w:b w:val="0"/>
                <w:color w:val="141414"/>
                <w:sz w:val="18"/>
              </w:rPr>
              <w:t>Successful reinvention through an ecosystem pivot: capability was built ahead of demand. It is the mirror image of GE Digital’s ambition-first pattern.</w:t>
            </w:r>
          </w:p>
        </w:tc>
        <w:tc>
          <w:tcPr>
            <w:tcW w:w="5112" w:type="dxa"/>
            <w:vAlign w:val="center"/>
            <w:tcMar>
              <w:top w:w="65" w:type="dxa"/>
              <w:start w:w="80" w:type="dxa"/>
              <w:bottom w:w="65" w:type="dxa"/>
              <w:end w:w="80" w:type="dxa"/>
            </w:tcMar>
            <w:shd w:fill="EEF5FA"/>
          </w:tcPr>
          <w:p w14:paraId="32726692" wp14:textId="77777777">
            <w:pPr>
              <w:spacing w:after="0" w:line="221" w:lineRule="auto"/>
              <w:jc w:val="left"/>
            </w:pPr>
            <w:r/>
            <w:r>
              <w:rPr>
                <w:rFonts w:ascii="Aptos" w:hAnsi="Aptos"/>
                <w:b w:val="0"/>
                <w:color w:val="141414"/>
                <w:sz w:val="18"/>
              </w:rPr>
              <w:t>CUDA launched in 2006; AlexNet used two GTX 580 GPUs in 2012; cuDNN followed in 2014 and DGX-1 in 2016. Data Center first exceeded Gaming for a full year in FY2023 ($15.01B vs. $9.07B).</w:t>
            </w:r>
          </w:p>
        </w:tc>
        <w:tc>
          <w:tcPr>
            <w:tcW w:w="3384" w:type="dxa"/>
            <w:vAlign w:val="center"/>
            <w:tcMar>
              <w:top w:w="65" w:type="dxa"/>
              <w:start w:w="80" w:type="dxa"/>
              <w:bottom w:w="65" w:type="dxa"/>
              <w:end w:w="80" w:type="dxa"/>
            </w:tcMar>
            <w:shd w:fill="EEF5FA"/>
          </w:tcPr>
          <w:p w14:paraId="0A1D009C" wp14:textId="77777777">
            <w:pPr>
              <w:spacing w:after="0" w:line="221" w:lineRule="auto"/>
              <w:jc w:val="left"/>
            </w:pPr>
            <w:r/>
            <w:r>
              <w:rPr>
                <w:rFonts w:ascii="Aptos" w:hAnsi="Aptos"/>
                <w:b w:val="0"/>
                <w:color w:val="141414"/>
                <w:sz w:val="18"/>
              </w:rPr>
              <w:t>NVIDIA CUDA source, Nov. 2006; Krizhevsky, Sutskever &amp; Hinton, NIPS 2012; NVIDIA cuDNN blog, Sept. 7, 2014; NVIDIA DGX-1 release, Apr. 5, 2016; NVIDIA Q4 FY2023 Earnings Release, Feb. 22, 2023; Week 8 GE Digital course case preferred.</w:t>
            </w:r>
          </w:p>
        </w:tc>
      </w:tr>
    </w:tbl>
    <w:p xmlns:wp14="http://schemas.microsoft.com/office/word/2010/wordml" w14:paraId="56EF8C6B" wp14:textId="77777777">
      <w:pPr>
        <w:spacing w:before="80" w:after="0"/>
      </w:pPr>
      <w:r>
        <w:rPr>
          <w:b/>
          <w:color w:val="244A70"/>
          <w:sz w:val="18"/>
        </w:rPr>
        <w:t>Causal integration: capability sequencing created ecosystem lock-in; lock-in enabled high-margin value capture; margin plus customer scale finances substitutes; lagging KPIs delay warning. The 90-day recommendation measures the binding constraint at the capacity-allocation decision.</w:t>
      </w:r>
    </w:p>
    <w:p xmlns:wp14="http://schemas.microsoft.com/office/word/2010/wordml" w14:paraId="6E24FD85" wp14:textId="77777777">
      <w:pPr>
        <w:spacing w:after="0"/>
      </w:pPr>
      <w:r>
        <w:rPr>
          <w:i/>
          <w:color w:val="666666"/>
          <w:sz w:val="17"/>
        </w:rPr>
        <w:t>Human-verification gates: confirm all figures in original sources, add final 10-K PDF page numbers, preserve the exact five Week 5 maturity dimension names and scores, and replace secondary sources with course or primary sources where available.</w:t>
      </w:r>
    </w:p>
    <w:sectPr w:rsidRPr="0006063C" w:rsidR="00FC693F" w:rsidSect="00034616">
      <w:pgSz w:w="15840" w:h="12240" w:orient="landscape"/>
      <w:pgMar w:top="691"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4C1507E5" w14:paraId="6C785210" wp14:textId="7CF2DAAD">
    <w:pPr>
      <w:pStyle w:val="Footer"/>
      <w:jc w:val="right"/>
      <w:rPr>
        <w:color w:val="7F7F7F" w:themeColor="text1" w:themeTint="80" w:themeShade="FF"/>
        <w:sz w:val="16"/>
        <w:szCs w:val="16"/>
      </w:rP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F4E8F65" wp14:textId="77777777">
    <w:pPr>
      <w:pStyle w:val="Header"/>
      <w:spacing w:after="0"/>
    </w:pPr>
    <w:r/>
    <w:r>
      <w:rPr>
        <w:color w:val="7F7F7F"/>
        <w:sz w:val="16"/>
      </w:rPr>
      <w:t>NVIDIA  |  FULL FRAMEWORK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C6C875"/>
    <w:rsid w:val="01C6C875"/>
    <w:rsid w:val="109FA843"/>
    <w:rsid w:val="109FA843"/>
    <w:rsid w:val="17D28737"/>
    <w:rsid w:val="1AAEB7A5"/>
    <w:rsid w:val="3816DE64"/>
    <w:rsid w:val="3E3E425C"/>
    <w:rsid w:val="3E3E425C"/>
    <w:rsid w:val="3F495431"/>
    <w:rsid w:val="42A5699E"/>
    <w:rsid w:val="4C1507E5"/>
    <w:rsid w:val="4C21B51E"/>
    <w:rsid w:val="51138D72"/>
    <w:rsid w:val="58D99FDE"/>
    <w:rsid w:val="64F9CB61"/>
    <w:rsid w:val="66B339FF"/>
    <w:rsid w:val="67088C05"/>
    <w:rsid w:val="7143AC8E"/>
    <w:rsid w:val="7143AC8E"/>
    <w:rsid w:val="7968889F"/>
    <w:rsid w:val="7EF430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4A45E3F-1353-4602-B307-B09245938B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line="245" w:lineRule="auto"/>
    </w:pPr>
    <w:rPr>
      <w:rFonts w:ascii="Aptos" w:hAnsi="Aptos"/>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Aptos Display" w:hAnsi="Aptos Display" w:asciiTheme="majorHAnsi" w:hAnsiTheme="majorHAnsi" w:eastAsiaTheme="majorEastAsia" w:cstheme="majorBidi"/>
      <w:b/>
      <w:bCs/>
      <w:color w:val="244A7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Aptos Display" w:hAnsi="Aptos Display" w:asciiTheme="majorHAnsi" w:hAnsiTheme="majorHAnsi" w:eastAsiaTheme="majorEastAsia" w:cstheme="majorBidi"/>
      <w:b/>
      <w:bCs/>
      <w:color w:val="244A7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140" w:after="60" w:line="240" w:lineRule="auto"/>
      <w:contextualSpacing/>
    </w:pPr>
    <w:rPr>
      <w:rFonts w:ascii="Aptos Display" w:hAnsi="Aptos Display" w:asciiTheme="majorHAnsi" w:hAnsiTheme="majorHAnsi" w:eastAsiaTheme="majorEastAsia" w:cstheme="majorBidi"/>
      <w:b/>
      <w:color w:val="1F4E79"/>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NVIDIA Full Framework Strategic Brief</dc:title>
  <dc:subject>Digital Business Transformations Foundations</dc:subject>
  <dc:creator>Keagan Smith</dc:creator>
  <keywords>NVIDIA, digital transformation, strategic brief, framework evidence log</keywords>
  <dc:description>generated by python-docx</dc:description>
  <lastModifiedBy>Keagan Smith</lastModifiedBy>
  <revision>2</revision>
  <dcterms:created xsi:type="dcterms:W3CDTF">2026-10-14T17:58:29.5711736Z</dcterms:created>
  <dcterms:modified xsi:type="dcterms:W3CDTF">2026-10-14T18:11:19.9338384Z</dcterms:modified>
  <category/>
</coreProperties>
</file>