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Aptos Display" w:hAnsi="Aptos Display"/>
          <w:b/>
          <w:color w:val="1F4E79"/>
          <w:sz w:val="32"/>
        </w:rPr>
        <w:t>NVIDIA WEEK 8 — PART 3</w:t>
      </w:r>
    </w:p>
    <w:p>
      <w:pPr>
        <w:spacing w:after="40"/>
        <w:jc w:val="center"/>
      </w:pPr>
      <w:r>
        <w:rPr>
          <w:rFonts w:ascii="Aptos Display" w:hAnsi="Aptos Display"/>
          <w:b/>
          <w:color w:val="1F4E79"/>
          <w:sz w:val="26"/>
        </w:rPr>
        <w:t>Roadmap, KPIs &amp; Evidence</w:t>
      </w:r>
    </w:p>
    <w:p>
      <w:pPr>
        <w:spacing w:after="100"/>
        <w:jc w:val="center"/>
      </w:pPr>
      <w:r>
        <w:rPr>
          <w:rFonts w:ascii="Aptos" w:hAnsi="Aptos"/>
          <w:color w:val="505050"/>
          <w:sz w:val="17"/>
        </w:rPr>
        <w:t>Tiago Farinas · Frameworks 6–7 · Research cutoff: 14 October 2026</w:t>
      </w:r>
    </w:p>
    <w:p>
      <w:pPr>
        <w:spacing w:before="160" w:after="60"/>
      </w:pPr>
      <w:r>
        <w:rPr>
          <w:rFonts w:ascii="Aptos Display" w:hAnsi="Aptos Display"/>
          <w:b/>
          <w:color w:val="244A70"/>
          <w:sz w:val="26"/>
        </w:rPr>
        <w:t>1. Executive Task 3 Verdict</w:t>
      </w:r>
    </w:p>
    <w:p>
      <w:pPr>
        <w:spacing w:after="60" w:line="240" w:lineRule="auto"/>
      </w:pPr>
      <w:r>
        <w:rPr>
          <w:rFonts w:ascii="Aptos" w:hAnsi="Aptos"/>
          <w:sz w:val="18"/>
        </w:rPr>
      </w:r>
      <w:r>
        <w:t>Framework 6 — Roadmap Quality: NVIDIA’s transformation followed a coherent Crawl/Walk/Run sequence. It established general-purpose GPU computing through CUDA before the AI demand surge, added deep-learning libraries and purpose-built systems, integrated high-performance networking through Mellanox, and then scaled the stack through Hopper and Blackwell. The sequencing honored capability dependencies rather than trying to scale the commercial outcome before the technical stack existed.</w:t>
      </w:r>
    </w:p>
    <w:p>
      <w:pPr>
        <w:spacing w:after="60" w:line="240" w:lineRule="auto"/>
      </w:pPr>
      <w:r>
        <w:rPr>
          <w:rFonts w:ascii="Aptos" w:hAnsi="Aptos"/>
          <w:sz w:val="18"/>
        </w:rPr>
      </w:r>
      <w:r>
        <w:t>Framework 7 — KPI Validity: NVIDIA publicly reports exceptionally strong lagging outcomes — revenue, Data Center growth, gross margin, and market-segment reporting — but the Winning Map’s strategic indicator is CUDA’s share of new AI workloads at top customers. Because actual workload share is not directly observable from public reporting, Part 3 uses NVIDIA’s share of each top customer’s newly committed accelerator capacity only as a measurable proxy for that strategic objective, never as the workload-share metric itself.</w:t>
      </w:r>
    </w:p>
    <w:p>
      <w:pPr>
        <w:spacing w:after="60" w:line="240" w:lineRule="auto"/>
      </w:pPr>
      <w:r>
        <w:rPr>
          <w:rFonts w:ascii="Aptos" w:hAnsi="Aptos"/>
          <w:sz w:val="18"/>
        </w:rPr>
      </w:r>
      <w:r>
        <w:t>Task 3 synthesis: The roadmap explains why NVIDIA built a durable moat; the KPI analysis explains why the board could still see moat erosion too late. That closes the group causal chain: capability sequencing created lock-in, lock-in created value capture, customer scale and NVIDIA’s margin create the motive and means for substitutes, and lagging KPIs delay the warning signal.</w:t>
      </w:r>
    </w:p>
    <w:p>
      <w:pPr>
        <w:spacing w:before="160" w:after="60"/>
      </w:pPr>
      <w:r>
        <w:rPr>
          <w:rFonts w:ascii="Aptos Display" w:hAnsi="Aptos Display"/>
          <w:b/>
          <w:color w:val="244A70"/>
          <w:sz w:val="26"/>
        </w:rPr>
        <w:t>2. Alignment With the Group Thesis</w:t>
      </w:r>
    </w:p>
    <w:p>
      <w:pPr>
        <w:pStyle w:val="ListBullet"/>
        <w:spacing w:after="30" w:line="240" w:lineRule="auto"/>
        <w:ind w:left="259" w:hanging="144"/>
      </w:pPr>
      <w:r>
        <w:rPr>
          <w:rFonts w:ascii="Aptos" w:hAnsi="Aptos"/>
          <w:sz w:val="17"/>
        </w:rPr>
        <w:t>Dimitrius’s locked transformation phrase is “From gaming-GPU vendor to full-stack AI computing platform.” Task 3 does not rewrite that thesis; it supplies the Roadmap Quality and KPI Validity evidence that makes it operational.</w:t>
      </w:r>
    </w:p>
    <w:p>
      <w:pPr>
        <w:pStyle w:val="ListBullet"/>
        <w:spacing w:after="30" w:line="240" w:lineRule="auto"/>
        <w:ind w:left="259" w:hanging="144"/>
      </w:pPr>
      <w:r>
        <w:rPr>
          <w:rFonts w:ascii="Aptos" w:hAnsi="Aptos"/>
          <w:sz w:val="17"/>
        </w:rPr>
        <w:t>Mahdin’s Part 2 finds very high internal technology/execution maturity and a binding external durability threat: concentrated customers that can build substitutes. Task 3 translates that threat into a measurable early-warning system.</w:t>
      </w:r>
    </w:p>
    <w:p>
      <w:pPr>
        <w:pStyle w:val="ListBullet"/>
        <w:spacing w:after="30" w:line="240" w:lineRule="auto"/>
        <w:ind w:left="259" w:hanging="144"/>
      </w:pPr>
      <w:r>
        <w:rPr>
          <w:rFonts w:ascii="Aptos" w:hAnsi="Aptos"/>
          <w:sz w:val="17"/>
        </w:rPr>
        <w:t>The central causal claim is not “NVIDIA is losing.” The claim is that the same economics proving the strength of the moat also finance credible substitute development, so management needs a leading indicator before revenue erosion appears.</w:t>
      </w:r>
    </w:p>
    <w:p>
      <w:pPr>
        <w:spacing w:before="160" w:after="60"/>
      </w:pPr>
      <w:r>
        <w:rPr>
          <w:rFonts w:ascii="Aptos Display" w:hAnsi="Aptos Display"/>
          <w:b/>
          <w:color w:val="244A70"/>
          <w:sz w:val="26"/>
        </w:rPr>
        <w:t>3. Framework 6 — Roadmap Quality</w:t>
      </w:r>
    </w:p>
    <w:p>
      <w:pPr>
        <w:spacing w:after="60" w:line="240" w:lineRule="auto"/>
      </w:pPr>
      <w:r>
        <w:rPr>
          <w:rFonts w:ascii="Aptos" w:hAnsi="Aptos"/>
          <w:sz w:val="18"/>
        </w:rPr>
      </w:r>
      <w:r>
        <w:t>Paste-ready verdict: NVIDIA followed Crawl/Walk/Run rather than Run/Walk/Crawl. General-purpose GPU software capability came first, deep-learning libraries and integrated systems came next, networking completed the scale-out stack, and Hopper then Blackwell converted that foundation into successive generations of AI infrastructure before and during the demand surge.</w:t>
      </w:r>
    </w:p>
    <w:tbl>
      <w:tblPr>
        <w:tblStyle w:val="TableGrid"/>
        <w:tblW w:type="auto" w:w="0"/>
        <w:jc w:val="center"/>
        <w:tblLook w:firstColumn="1" w:firstRow="1" w:lastColumn="0" w:lastRow="0" w:noHBand="0" w:noVBand="1" w:val="04A0"/>
      </w:tblPr>
      <w:tblGrid>
        <w:gridCol w:w="2131"/>
        <w:gridCol w:w="2131"/>
        <w:gridCol w:w="2131"/>
        <w:gridCol w:w="2131"/>
        <w:gridCol w:w="2131"/>
      </w:tblGrid>
      <w:tr>
        <w:trPr>
          <w:tblHeader w:val="true"/>
        </w:trPr>
        <w:tc>
          <w:tcPr>
            <w:tcW w:type="dxa" w:w="1512"/>
            <w:shd w:fill="17365D"/>
            <w:vAlign w:val="center"/>
            <w:tcMar>
              <w:top w:w="50" w:type="dxa"/>
              <w:start w:w="60" w:type="dxa"/>
              <w:bottom w:w="50" w:type="dxa"/>
              <w:end w:w="60" w:type="dxa"/>
            </w:tcMar>
          </w:tcPr>
          <w:p>
            <w:r>
              <w:rPr>
                <w:sz w:val="16"/>
              </w:rPr>
              <w:t>Stage</w:t>
            </w:r>
          </w:p>
        </w:tc>
        <w:tc>
          <w:tcPr>
            <w:tcW w:type="dxa" w:w="1008"/>
            <w:shd w:fill="17365D"/>
            <w:vAlign w:val="center"/>
            <w:tcMar>
              <w:top w:w="50" w:type="dxa"/>
              <w:start w:w="60" w:type="dxa"/>
              <w:bottom w:w="50" w:type="dxa"/>
              <w:end w:w="60" w:type="dxa"/>
            </w:tcMar>
          </w:tcPr>
          <w:p>
            <w:r>
              <w:rPr>
                <w:sz w:val="16"/>
              </w:rPr>
              <w:t>Timing</w:t>
            </w:r>
          </w:p>
        </w:tc>
        <w:tc>
          <w:tcPr>
            <w:tcW w:type="dxa" w:w="2952"/>
            <w:shd w:fill="17365D"/>
            <w:vAlign w:val="center"/>
            <w:tcMar>
              <w:top w:w="50" w:type="dxa"/>
              <w:start w:w="60" w:type="dxa"/>
              <w:bottom w:w="50" w:type="dxa"/>
              <w:end w:w="60" w:type="dxa"/>
            </w:tcMar>
          </w:tcPr>
          <w:p>
            <w:r>
              <w:rPr>
                <w:sz w:val="16"/>
              </w:rPr>
              <w:t>Evidence</w:t>
            </w:r>
          </w:p>
        </w:tc>
        <w:tc>
          <w:tcPr>
            <w:tcW w:type="dxa" w:w="3240"/>
            <w:shd w:fill="17365D"/>
            <w:vAlign w:val="center"/>
            <w:tcMar>
              <w:top w:w="50" w:type="dxa"/>
              <w:start w:w="60" w:type="dxa"/>
              <w:bottom w:w="50" w:type="dxa"/>
              <w:end w:w="60" w:type="dxa"/>
            </w:tcMar>
          </w:tcPr>
          <w:p>
            <w:r>
              <w:rPr>
                <w:sz w:val="16"/>
              </w:rPr>
              <w:t>Why the dependency matters</w:t>
            </w:r>
          </w:p>
        </w:tc>
        <w:tc>
          <w:tcPr>
            <w:tcW w:type="dxa" w:w="2160"/>
            <w:shd w:fill="17365D"/>
            <w:vAlign w:val="center"/>
            <w:tcMar>
              <w:top w:w="50" w:type="dxa"/>
              <w:start w:w="60" w:type="dxa"/>
              <w:bottom w:w="50" w:type="dxa"/>
              <w:end w:w="60" w:type="dxa"/>
            </w:tcMar>
          </w:tcPr>
          <w:p>
            <w:r>
              <w:rPr>
                <w:sz w:val="16"/>
              </w:rPr>
              <w:t>Primary source</w:t>
            </w:r>
          </w:p>
        </w:tc>
      </w:tr>
      <w:tr>
        <w:tc>
          <w:tcPr>
            <w:tcW w:type="dxa" w:w="1512"/>
            <w:tcMar>
              <w:top w:w="50" w:type="dxa"/>
              <w:start w:w="60" w:type="dxa"/>
              <w:bottom w:w="50" w:type="dxa"/>
              <w:end w:w="60" w:type="dxa"/>
            </w:tcMar>
            <w:vAlign w:val="center"/>
          </w:tcPr>
          <w:p>
            <w:r>
              <w:rPr>
                <w:sz w:val="16"/>
              </w:rPr>
              <w:t>CRAWL — Software foundation</w:t>
            </w:r>
          </w:p>
        </w:tc>
        <w:tc>
          <w:tcPr>
            <w:tcW w:type="dxa" w:w="1008"/>
            <w:tcMar>
              <w:top w:w="50" w:type="dxa"/>
              <w:start w:w="60" w:type="dxa"/>
              <w:bottom w:w="50" w:type="dxa"/>
              <w:end w:w="60" w:type="dxa"/>
            </w:tcMar>
            <w:vAlign w:val="center"/>
          </w:tcPr>
          <w:p>
            <w:r>
              <w:rPr>
                <w:sz w:val="16"/>
              </w:rPr>
              <w:t>Nov. 2006</w:t>
            </w:r>
          </w:p>
        </w:tc>
        <w:tc>
          <w:tcPr>
            <w:tcW w:type="dxa" w:w="2952"/>
            <w:tcMar>
              <w:top w:w="50" w:type="dxa"/>
              <w:start w:w="60" w:type="dxa"/>
              <w:bottom w:w="50" w:type="dxa"/>
              <w:end w:w="60" w:type="dxa"/>
            </w:tcMar>
            <w:vAlign w:val="center"/>
          </w:tcPr>
          <w:p>
            <w:r>
              <w:rPr>
                <w:sz w:val="16"/>
              </w:rPr>
              <w:t>CUDA introduced as a general-purpose parallel computing platform and programming model.</w:t>
            </w:r>
          </w:p>
        </w:tc>
        <w:tc>
          <w:tcPr>
            <w:tcW w:type="dxa" w:w="3240"/>
            <w:tcMar>
              <w:top w:w="50" w:type="dxa"/>
              <w:start w:w="60" w:type="dxa"/>
              <w:bottom w:w="50" w:type="dxa"/>
              <w:end w:w="60" w:type="dxa"/>
            </w:tcMar>
            <w:vAlign w:val="center"/>
          </w:tcPr>
          <w:p>
            <w:r>
              <w:rPr>
                <w:sz w:val="16"/>
              </w:rPr>
              <w:t>Created a programmable layer above the GPU before modern deep learning became a mass market.</w:t>
            </w:r>
          </w:p>
        </w:tc>
        <w:tc>
          <w:tcPr>
            <w:tcW w:type="dxa" w:w="2160"/>
            <w:tcMar>
              <w:top w:w="50" w:type="dxa"/>
              <w:start w:w="60" w:type="dxa"/>
              <w:bottom w:w="50" w:type="dxa"/>
              <w:end w:w="60" w:type="dxa"/>
            </w:tcMar>
            <w:vAlign w:val="center"/>
          </w:tcPr>
          <w:p>
            <w:r>
              <w:rPr>
                <w:sz w:val="16"/>
              </w:rPr>
              <w:t>NVIDIA CUDA C++ Programming Guide</w:t>
            </w:r>
          </w:p>
        </w:tc>
      </w:tr>
      <w:tr>
        <w:tc>
          <w:tcPr>
            <w:tcW w:type="dxa" w:w="1512"/>
            <w:tcMar>
              <w:top w:w="50" w:type="dxa"/>
              <w:start w:w="60" w:type="dxa"/>
              <w:bottom w:w="50" w:type="dxa"/>
              <w:end w:w="60" w:type="dxa"/>
            </w:tcMar>
            <w:vAlign w:val="center"/>
            <w:shd w:fill="F3F6FA"/>
          </w:tcPr>
          <w:p>
            <w:r>
              <w:rPr>
                <w:sz w:val="16"/>
              </w:rPr>
              <w:t>CRAWL — AI software specialization</w:t>
            </w:r>
          </w:p>
        </w:tc>
        <w:tc>
          <w:tcPr>
            <w:tcW w:type="dxa" w:w="1008"/>
            <w:tcMar>
              <w:top w:w="50" w:type="dxa"/>
              <w:start w:w="60" w:type="dxa"/>
              <w:bottom w:w="50" w:type="dxa"/>
              <w:end w:w="60" w:type="dxa"/>
            </w:tcMar>
            <w:vAlign w:val="center"/>
            <w:shd w:fill="F3F6FA"/>
          </w:tcPr>
          <w:p>
            <w:r>
              <w:rPr>
                <w:sz w:val="16"/>
              </w:rPr>
              <w:t>Sept. 7, 2014</w:t>
            </w:r>
          </w:p>
        </w:tc>
        <w:tc>
          <w:tcPr>
            <w:tcW w:type="dxa" w:w="2952"/>
            <w:tcMar>
              <w:top w:w="50" w:type="dxa"/>
              <w:start w:w="60" w:type="dxa"/>
              <w:bottom w:w="50" w:type="dxa"/>
              <w:end w:w="60" w:type="dxa"/>
            </w:tcMar>
            <w:vAlign w:val="center"/>
            <w:shd w:fill="F3F6FA"/>
          </w:tcPr>
          <w:p>
            <w:r>
              <w:rPr>
                <w:sz w:val="16"/>
              </w:rPr>
              <w:t>cuDNN introduced as a GPU-accelerated library of deep-neural-network primitives.</w:t>
            </w:r>
          </w:p>
        </w:tc>
        <w:tc>
          <w:tcPr>
            <w:tcW w:type="dxa" w:w="3240"/>
            <w:tcMar>
              <w:top w:w="50" w:type="dxa"/>
              <w:start w:w="60" w:type="dxa"/>
              <w:bottom w:w="50" w:type="dxa"/>
              <w:end w:w="60" w:type="dxa"/>
            </w:tcMar>
            <w:vAlign w:val="center"/>
            <w:shd w:fill="F3F6FA"/>
          </w:tcPr>
          <w:p>
            <w:r>
              <w:rPr>
                <w:sz w:val="16"/>
              </w:rPr>
              <w:t>Reduced friction for higher-level ML frameworks and made NVIDIA hardware easier to use for deep learning.</w:t>
            </w:r>
          </w:p>
        </w:tc>
        <w:tc>
          <w:tcPr>
            <w:tcW w:type="dxa" w:w="2160"/>
            <w:tcMar>
              <w:top w:w="50" w:type="dxa"/>
              <w:start w:w="60" w:type="dxa"/>
              <w:bottom w:w="50" w:type="dxa"/>
              <w:end w:w="60" w:type="dxa"/>
            </w:tcMar>
            <w:vAlign w:val="center"/>
            <w:shd w:fill="F3F6FA"/>
          </w:tcPr>
          <w:p>
            <w:r>
              <w:rPr>
                <w:sz w:val="16"/>
              </w:rPr>
              <w:t>NVIDIA Technical Blog, “Accelerate Machine Learning with the cuDNN Deep Neural Network Library”</w:t>
            </w:r>
          </w:p>
        </w:tc>
      </w:tr>
      <w:tr>
        <w:tc>
          <w:tcPr>
            <w:tcW w:type="dxa" w:w="1512"/>
            <w:tcMar>
              <w:top w:w="50" w:type="dxa"/>
              <w:start w:w="60" w:type="dxa"/>
              <w:bottom w:w="50" w:type="dxa"/>
              <w:end w:w="60" w:type="dxa"/>
            </w:tcMar>
            <w:vAlign w:val="center"/>
          </w:tcPr>
          <w:p>
            <w:r>
              <w:rPr>
                <w:sz w:val="16"/>
              </w:rPr>
              <w:t>WALK — Integrated AI system</w:t>
            </w:r>
          </w:p>
        </w:tc>
        <w:tc>
          <w:tcPr>
            <w:tcW w:type="dxa" w:w="1008"/>
            <w:tcMar>
              <w:top w:w="50" w:type="dxa"/>
              <w:start w:w="60" w:type="dxa"/>
              <w:bottom w:w="50" w:type="dxa"/>
              <w:end w:w="60" w:type="dxa"/>
            </w:tcMar>
            <w:vAlign w:val="center"/>
          </w:tcPr>
          <w:p>
            <w:r>
              <w:rPr>
                <w:sz w:val="16"/>
              </w:rPr>
              <w:t>Apr. 5, 2016</w:t>
            </w:r>
          </w:p>
        </w:tc>
        <w:tc>
          <w:tcPr>
            <w:tcW w:type="dxa" w:w="2952"/>
            <w:tcMar>
              <w:top w:w="50" w:type="dxa"/>
              <w:start w:w="60" w:type="dxa"/>
              <w:bottom w:w="50" w:type="dxa"/>
              <w:end w:w="60" w:type="dxa"/>
            </w:tcMar>
            <w:vAlign w:val="center"/>
          </w:tcPr>
          <w:p>
            <w:r>
              <w:rPr>
                <w:sz w:val="16"/>
              </w:rPr>
              <w:t>DGX-1 launched as a fully integrated deep-learning system with hardware, software and development tools.</w:t>
            </w:r>
          </w:p>
        </w:tc>
        <w:tc>
          <w:tcPr>
            <w:tcW w:type="dxa" w:w="3240"/>
            <w:tcMar>
              <w:top w:w="50" w:type="dxa"/>
              <w:start w:w="60" w:type="dxa"/>
              <w:bottom w:w="50" w:type="dxa"/>
              <w:end w:w="60" w:type="dxa"/>
            </w:tcMar>
            <w:vAlign w:val="center"/>
          </w:tcPr>
          <w:p>
            <w:r>
              <w:rPr>
                <w:sz w:val="16"/>
              </w:rPr>
              <w:t>Moved NVIDIA from component supplier toward an integrated AI system proposition.</w:t>
            </w:r>
          </w:p>
        </w:tc>
        <w:tc>
          <w:tcPr>
            <w:tcW w:type="dxa" w:w="2160"/>
            <w:tcMar>
              <w:top w:w="50" w:type="dxa"/>
              <w:start w:w="60" w:type="dxa"/>
              <w:bottom w:w="50" w:type="dxa"/>
              <w:end w:w="60" w:type="dxa"/>
            </w:tcMar>
            <w:vAlign w:val="center"/>
          </w:tcPr>
          <w:p>
            <w:r>
              <w:rPr>
                <w:sz w:val="16"/>
              </w:rPr>
              <w:t>NVIDIA, “NVIDIA Launches World’s First Deep Learning Supercomputer”</w:t>
            </w:r>
          </w:p>
        </w:tc>
      </w:tr>
      <w:tr>
        <w:tc>
          <w:tcPr>
            <w:tcW w:type="dxa" w:w="1512"/>
            <w:tcMar>
              <w:top w:w="50" w:type="dxa"/>
              <w:start w:w="60" w:type="dxa"/>
              <w:bottom w:w="50" w:type="dxa"/>
              <w:end w:w="60" w:type="dxa"/>
            </w:tcMar>
            <w:vAlign w:val="center"/>
            <w:shd w:fill="F3F6FA"/>
          </w:tcPr>
          <w:p>
            <w:r>
              <w:rPr>
                <w:sz w:val="16"/>
              </w:rPr>
              <w:t>WALK — Networking integration</w:t>
            </w:r>
          </w:p>
        </w:tc>
        <w:tc>
          <w:tcPr>
            <w:tcW w:type="dxa" w:w="1008"/>
            <w:tcMar>
              <w:top w:w="50" w:type="dxa"/>
              <w:start w:w="60" w:type="dxa"/>
              <w:bottom w:w="50" w:type="dxa"/>
              <w:end w:w="60" w:type="dxa"/>
            </w:tcMar>
            <w:vAlign w:val="center"/>
            <w:shd w:fill="F3F6FA"/>
          </w:tcPr>
          <w:p>
            <w:r>
              <w:rPr>
                <w:sz w:val="16"/>
              </w:rPr>
              <w:t>Apr. 27, 2020</w:t>
            </w:r>
          </w:p>
        </w:tc>
        <w:tc>
          <w:tcPr>
            <w:tcW w:type="dxa" w:w="2952"/>
            <w:tcMar>
              <w:top w:w="50" w:type="dxa"/>
              <w:start w:w="60" w:type="dxa"/>
              <w:bottom w:w="50" w:type="dxa"/>
              <w:end w:w="60" w:type="dxa"/>
            </w:tcMar>
            <w:vAlign w:val="center"/>
            <w:shd w:fill="F3F6FA"/>
          </w:tcPr>
          <w:p>
            <w:r>
              <w:rPr>
                <w:sz w:val="16"/>
              </w:rPr>
              <w:t>NVIDIA completed the $7B Mellanox acquisition, combining compute with high-performance networking.</w:t>
            </w:r>
          </w:p>
        </w:tc>
        <w:tc>
          <w:tcPr>
            <w:tcW w:type="dxa" w:w="3240"/>
            <w:tcMar>
              <w:top w:w="50" w:type="dxa"/>
              <w:start w:w="60" w:type="dxa"/>
              <w:bottom w:w="50" w:type="dxa"/>
              <w:end w:w="60" w:type="dxa"/>
            </w:tcMar>
            <w:vAlign w:val="center"/>
            <w:shd w:fill="F3F6FA"/>
          </w:tcPr>
          <w:p>
            <w:r>
              <w:rPr>
                <w:sz w:val="16"/>
              </w:rPr>
              <w:t>Closed a key scale-out dependency required for data-center-scale AI infrastructure.</w:t>
            </w:r>
          </w:p>
        </w:tc>
        <w:tc>
          <w:tcPr>
            <w:tcW w:type="dxa" w:w="2160"/>
            <w:tcMar>
              <w:top w:w="50" w:type="dxa"/>
              <w:start w:w="60" w:type="dxa"/>
              <w:bottom w:w="50" w:type="dxa"/>
              <w:end w:w="60" w:type="dxa"/>
            </w:tcMar>
            <w:vAlign w:val="center"/>
            <w:shd w:fill="F3F6FA"/>
          </w:tcPr>
          <w:p>
            <w:r>
              <w:rPr>
                <w:sz w:val="16"/>
              </w:rPr>
              <w:t>NVIDIA, “NVIDIA Completes Acquisition of Mellanox…”</w:t>
            </w:r>
          </w:p>
        </w:tc>
      </w:tr>
      <w:tr>
        <w:tc>
          <w:tcPr>
            <w:tcW w:type="dxa" w:w="1512"/>
            <w:tcMar>
              <w:top w:w="50" w:type="dxa"/>
              <w:start w:w="60" w:type="dxa"/>
              <w:bottom w:w="50" w:type="dxa"/>
              <w:end w:w="60" w:type="dxa"/>
            </w:tcMar>
            <w:vAlign w:val="center"/>
          </w:tcPr>
          <w:p>
            <w:r>
              <w:rPr>
                <w:sz w:val="16"/>
              </w:rPr>
              <w:t>RUN — Transformer-era platform</w:t>
            </w:r>
          </w:p>
        </w:tc>
        <w:tc>
          <w:tcPr>
            <w:tcW w:type="dxa" w:w="1008"/>
            <w:tcMar>
              <w:top w:w="50" w:type="dxa"/>
              <w:start w:w="60" w:type="dxa"/>
              <w:bottom w:w="50" w:type="dxa"/>
              <w:end w:w="60" w:type="dxa"/>
            </w:tcMar>
            <w:vAlign w:val="center"/>
          </w:tcPr>
          <w:p>
            <w:r>
              <w:rPr>
                <w:sz w:val="16"/>
              </w:rPr>
              <w:t>Mar. 22, 2022</w:t>
            </w:r>
          </w:p>
        </w:tc>
        <w:tc>
          <w:tcPr>
            <w:tcW w:type="dxa" w:w="2952"/>
            <w:tcMar>
              <w:top w:w="50" w:type="dxa"/>
              <w:start w:w="60" w:type="dxa"/>
              <w:bottom w:w="50" w:type="dxa"/>
              <w:end w:w="60" w:type="dxa"/>
            </w:tcMar>
            <w:vAlign w:val="center"/>
          </w:tcPr>
          <w:p>
            <w:r>
              <w:rPr>
                <w:sz w:val="16"/>
              </w:rPr>
              <w:t>NVIDIA announced Hopper and the H100, including the Transformer Engine and higher-scale NVLink for large AI models.</w:t>
            </w:r>
          </w:p>
        </w:tc>
        <w:tc>
          <w:tcPr>
            <w:tcW w:type="dxa" w:w="3240"/>
            <w:tcMar>
              <w:top w:w="50" w:type="dxa"/>
              <w:start w:w="60" w:type="dxa"/>
              <w:bottom w:w="50" w:type="dxa"/>
              <w:end w:w="60" w:type="dxa"/>
            </w:tcMar>
            <w:vAlign w:val="center"/>
          </w:tcPr>
          <w:p>
            <w:r>
              <w:rPr>
                <w:sz w:val="16"/>
              </w:rPr>
              <w:t>Turned the established software + systems + networking stack into a platform optimized for rapidly scaling transformer workloads.</w:t>
            </w:r>
          </w:p>
        </w:tc>
        <w:tc>
          <w:tcPr>
            <w:tcW w:type="dxa" w:w="2160"/>
            <w:tcMar>
              <w:top w:w="50" w:type="dxa"/>
              <w:start w:w="60" w:type="dxa"/>
              <w:bottom w:w="50" w:type="dxa"/>
              <w:end w:w="60" w:type="dxa"/>
            </w:tcMar>
            <w:vAlign w:val="center"/>
          </w:tcPr>
          <w:p>
            <w:r>
              <w:rPr>
                <w:sz w:val="16"/>
              </w:rPr>
              <w:t>NVIDIA, “NVIDIA Announces Hopper Architecture…”</w:t>
            </w:r>
          </w:p>
        </w:tc>
      </w:tr>
      <w:tr>
        <w:tc>
          <w:tcPr>
            <w:tcW w:type="dxa" w:w="2131"/>
            <w:vAlign w:val="center"/>
          </w:tcPr>
          <w:p>
            <w:r>
              <w:rPr>
                <w:sz w:val="16"/>
              </w:rPr>
              <w:t>RUN — Generative-AI scale</w:t>
            </w:r>
          </w:p>
        </w:tc>
        <w:tc>
          <w:tcPr>
            <w:tcW w:type="dxa" w:w="2131"/>
            <w:vAlign w:val="center"/>
          </w:tcPr>
          <w:p>
            <w:r>
              <w:rPr>
                <w:sz w:val="16"/>
              </w:rPr>
              <w:t>Mar. 18, 2024</w:t>
            </w:r>
          </w:p>
        </w:tc>
        <w:tc>
          <w:tcPr>
            <w:tcW w:type="dxa" w:w="2131"/>
            <w:vAlign w:val="center"/>
          </w:tcPr>
          <w:p>
            <w:r>
              <w:rPr>
                <w:sz w:val="16"/>
              </w:rPr>
              <w:t>NVIDIA announced the Blackwell platform, combining new GPU, NVLink and system technologies for trillion-parameter generative AI.</w:t>
            </w:r>
          </w:p>
        </w:tc>
        <w:tc>
          <w:tcPr>
            <w:tcW w:type="dxa" w:w="2131"/>
            <w:vAlign w:val="center"/>
          </w:tcPr>
          <w:p>
            <w:r>
              <w:rPr>
                <w:sz w:val="16"/>
              </w:rPr>
              <w:t>Extended the same full-stack dependency logic into the next infrastructure generation rather than resetting the platform around a standalone chip.</w:t>
            </w:r>
          </w:p>
        </w:tc>
        <w:tc>
          <w:tcPr>
            <w:tcW w:type="dxa" w:w="2131"/>
            <w:vAlign w:val="center"/>
          </w:tcPr>
          <w:p>
            <w:r>
              <w:rPr>
                <w:sz w:val="16"/>
              </w:rPr>
              <w:t>NVIDIA, “NVIDIA Blackwell Platform Arrives to Power a New Era of Computing”</w:t>
            </w:r>
          </w:p>
        </w:tc>
      </w:tr>
      <w:tr>
        <w:tc>
          <w:tcPr>
            <w:tcW w:type="dxa" w:w="2131"/>
            <w:vAlign w:val="center"/>
          </w:tcPr>
          <w:p>
            <w:r>
              <w:rPr>
                <w:sz w:val="16"/>
              </w:rPr>
              <w:t>RUN — Commercial AI infrastructure scale</w:t>
            </w:r>
          </w:p>
        </w:tc>
        <w:tc>
          <w:tcPr>
            <w:tcW w:type="dxa" w:w="2131"/>
            <w:vAlign w:val="center"/>
          </w:tcPr>
          <w:p>
            <w:r>
              <w:rPr>
                <w:sz w:val="16"/>
              </w:rPr>
              <w:t>FY2026 / Q2 FY2027</w:t>
            </w:r>
          </w:p>
        </w:tc>
        <w:tc>
          <w:tcPr>
            <w:tcW w:type="dxa" w:w="2131"/>
            <w:vAlign w:val="center"/>
          </w:tcPr>
          <w:p>
            <w:r>
              <w:rPr>
                <w:sz w:val="16"/>
              </w:rPr>
              <w:t>FY2026 Data Center revenue was $193.737B; Q2 FY2027 Data Center revenue reached $89.0B in one quarter.</w:t>
            </w:r>
          </w:p>
        </w:tc>
        <w:tc>
          <w:tcPr>
            <w:tcW w:type="dxa" w:w="2131"/>
            <w:vAlign w:val="center"/>
          </w:tcPr>
          <w:p>
            <w:r>
              <w:rPr>
                <w:sz w:val="16"/>
              </w:rPr>
              <w:t>Commercial scale followed the enabling stack and successive platform generations rather than preceding them.</w:t>
            </w:r>
          </w:p>
        </w:tc>
        <w:tc>
          <w:tcPr>
            <w:tcW w:type="dxa" w:w="2131"/>
            <w:vAlign w:val="center"/>
          </w:tcPr>
          <w:p>
            <w:r>
              <w:rPr>
                <w:sz w:val="16"/>
              </w:rPr>
              <w:t>NVIDIA FY2026 Form 10-K; NVIDIA Q2 FY2027 Financial Results</w:t>
            </w:r>
          </w:p>
        </w:tc>
      </w:tr>
    </w:tbl>
    <w:p>
      <w:pPr>
        <w:spacing w:before="160" w:after="60"/>
      </w:pPr>
      <w:r>
        <w:rPr>
          <w:rFonts w:ascii="Aptos Display" w:hAnsi="Aptos Display"/>
          <w:b/>
          <w:color w:val="244A70"/>
          <w:sz w:val="26"/>
        </w:rPr>
        <w:t>4. Dependency and Governance Assessment</w:t>
      </w:r>
    </w:p>
    <w:p>
      <w:pPr>
        <w:spacing w:after="60" w:line="240" w:lineRule="auto"/>
      </w:pPr>
      <w:r>
        <w:rPr>
          <w:rFonts w:ascii="Aptos" w:hAnsi="Aptos"/>
          <w:sz w:val="18"/>
        </w:rPr>
      </w:r>
      <w:r>
        <w:t>Dependency verdict: The sequence is strategically strong because each layer expanded what the next layer could monetize. CUDA made GPU compute programmable; cuDNN specialized the stack for deep learning; DGX converted the stack into an integrated system; Mellanox added the networking layer required for scale-out deployment; Hopper optimized the platform for transformer-era AI; and Blackwell extended the full-stack architecture for much larger generative-AI workloads. This is a genuine dependency chain, not a chronology of unrelated launches.</w:t>
      </w:r>
    </w:p>
    <w:p>
      <w:pPr>
        <w:spacing w:after="60" w:line="240" w:lineRule="auto"/>
      </w:pPr>
      <w:r>
        <w:rPr>
          <w:rFonts w:ascii="Aptos" w:hAnsi="Aptos"/>
          <w:sz w:val="18"/>
        </w:rPr>
      </w:r>
      <w:r>
        <w:t>Governance evidence: NVIDIA’s 2026 Proxy Statement supports board-level oversight of strategic risk and strategic execution. That is evidence that the transformation roadmap receives senior governance attention. It does not, however, establish how detailed cross-functional product, software, networking, sales, and supply-chain trade-offs are governed inside the company; public disclosure is insufficient to claim a specific execution-governance mechanism.</w:t>
      </w:r>
    </w:p>
    <w:p>
      <w:pPr>
        <w:spacing w:after="60" w:line="240" w:lineRule="auto"/>
      </w:pPr>
      <w:r>
        <w:rPr>
          <w:rFonts w:ascii="Aptos" w:hAnsi="Aptos"/>
          <w:sz w:val="18"/>
        </w:rPr>
      </w:r>
      <w:r>
        <w:t>Evidence standard note: The course asks whether governance is structured for cross-functional trade-offs. The public record supports board-level strategic oversight, but not the internal decision cadence, committee structure, or escalation rules behind individual roadmap choices. The Evidence Log therefore treats detailed cross-functional execution governance as insufficient public data rather than inferring it from Board oversight.</w:t>
      </w:r>
    </w:p>
    <w:p>
      <w:pPr>
        <w:spacing w:before="160" w:after="60"/>
      </w:pPr>
      <w:r>
        <w:rPr>
          <w:rFonts w:ascii="Aptos Display" w:hAnsi="Aptos Display"/>
          <w:b/>
          <w:color w:val="244A70"/>
          <w:sz w:val="26"/>
        </w:rPr>
        <w:t>5. Framework 7 — KPI Validity</w:t>
      </w:r>
    </w:p>
    <w:p>
      <w:pPr>
        <w:spacing w:after="60" w:line="240" w:lineRule="auto"/>
      </w:pPr>
      <w:r>
        <w:rPr>
          <w:rFonts w:ascii="Aptos" w:hAnsi="Aptos"/>
          <w:sz w:val="18"/>
        </w:rPr>
      </w:r>
      <w:r>
        <w:t>Paste-ready verdict: NVIDIA’s disclosed KPIs are strong measures of realized performance but are mostly lagging indicators of competitive durability. The strategic objective is CUDA’s share of new AI workloads at top customers. Because that workload share is not directly observable from public disclosures, the recommended operational measure is NVIDIA’s share of each top customer’s newly committed accelerator capacity as a proxy that can warn of substitution earlier than revenue.</w:t>
      </w: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trPr>
        <w:tc>
          <w:tcPr>
            <w:tcW w:type="dxa" w:w="2160"/>
            <w:shd w:fill="17365D"/>
            <w:vAlign w:val="center"/>
            <w:tcMar>
              <w:top w:w="50" w:type="dxa"/>
              <w:start w:w="60" w:type="dxa"/>
              <w:bottom w:w="50" w:type="dxa"/>
              <w:end w:w="60" w:type="dxa"/>
            </w:tcMar>
          </w:tcPr>
          <w:p>
            <w:pPr>
              <w:jc w:val="center"/>
            </w:pPr>
            <w:r>
              <w:rPr>
                <w:rFonts w:ascii="Aptos" w:hAnsi="Aptos"/>
                <w:b/>
                <w:color w:val="FFFFFF"/>
                <w:sz w:val="16"/>
              </w:rPr>
              <w:t>Metric</w:t>
            </w:r>
          </w:p>
        </w:tc>
        <w:tc>
          <w:tcPr>
            <w:tcW w:type="dxa" w:w="1440"/>
            <w:shd w:fill="17365D"/>
            <w:vAlign w:val="center"/>
            <w:tcMar>
              <w:top w:w="50" w:type="dxa"/>
              <w:start w:w="60" w:type="dxa"/>
              <w:bottom w:w="50" w:type="dxa"/>
              <w:end w:w="60" w:type="dxa"/>
            </w:tcMar>
          </w:tcPr>
          <w:p>
            <w:pPr>
              <w:jc w:val="center"/>
            </w:pPr>
            <w:r>
              <w:rPr>
                <w:rFonts w:ascii="Aptos" w:hAnsi="Aptos"/>
                <w:b/>
                <w:color w:val="FFFFFF"/>
                <w:sz w:val="16"/>
              </w:rPr>
              <w:t>Type</w:t>
            </w:r>
          </w:p>
        </w:tc>
        <w:tc>
          <w:tcPr>
            <w:tcW w:type="dxa" w:w="3456"/>
            <w:shd w:fill="17365D"/>
            <w:vAlign w:val="center"/>
            <w:tcMar>
              <w:top w:w="50" w:type="dxa"/>
              <w:start w:w="60" w:type="dxa"/>
              <w:bottom w:w="50" w:type="dxa"/>
              <w:end w:w="60" w:type="dxa"/>
            </w:tcMar>
          </w:tcPr>
          <w:p>
            <w:pPr>
              <w:jc w:val="center"/>
            </w:pPr>
            <w:r>
              <w:rPr>
                <w:rFonts w:ascii="Aptos" w:hAnsi="Aptos"/>
                <w:b/>
                <w:color w:val="FFFFFF"/>
                <w:sz w:val="16"/>
              </w:rPr>
              <w:t>Public evidence</w:t>
            </w:r>
          </w:p>
        </w:tc>
        <w:tc>
          <w:tcPr>
            <w:tcW w:type="dxa" w:w="3888"/>
            <w:shd w:fill="17365D"/>
            <w:vAlign w:val="center"/>
            <w:tcMar>
              <w:top w:w="50" w:type="dxa"/>
              <w:start w:w="60" w:type="dxa"/>
              <w:bottom w:w="50" w:type="dxa"/>
              <w:end w:w="60" w:type="dxa"/>
            </w:tcMar>
          </w:tcPr>
          <w:p>
            <w:pPr>
              <w:jc w:val="center"/>
            </w:pPr>
            <w:r>
              <w:rPr>
                <w:rFonts w:ascii="Aptos" w:hAnsi="Aptos"/>
                <w:b/>
                <w:color w:val="FFFFFF"/>
                <w:sz w:val="16"/>
              </w:rPr>
              <w:t>Strategic interpretation</w:t>
            </w:r>
          </w:p>
        </w:tc>
      </w:tr>
      <w:tr>
        <w:tc>
          <w:tcPr>
            <w:tcW w:type="dxa" w:w="2160"/>
            <w:tcMar>
              <w:top w:w="50" w:type="dxa"/>
              <w:start w:w="60" w:type="dxa"/>
              <w:bottom w:w="50" w:type="dxa"/>
              <w:end w:w="60" w:type="dxa"/>
            </w:tcMar>
            <w:vAlign w:val="center"/>
          </w:tcPr>
          <w:p>
            <w:r>
              <w:rPr>
                <w:sz w:val="16"/>
              </w:rPr>
              <w:t>Total / Data Center revenue</w:t>
            </w:r>
          </w:p>
        </w:tc>
        <w:tc>
          <w:tcPr>
            <w:tcW w:type="dxa" w:w="1440"/>
            <w:tcMar>
              <w:top w:w="50" w:type="dxa"/>
              <w:start w:w="60" w:type="dxa"/>
              <w:bottom w:w="50" w:type="dxa"/>
              <w:end w:w="60" w:type="dxa"/>
            </w:tcMar>
            <w:vAlign w:val="center"/>
          </w:tcPr>
          <w:p>
            <w:r>
              <w:rPr>
                <w:sz w:val="16"/>
              </w:rPr>
              <w:t>Lagging</w:t>
            </w:r>
          </w:p>
        </w:tc>
        <w:tc>
          <w:tcPr>
            <w:tcW w:type="dxa" w:w="3456"/>
            <w:tcMar>
              <w:top w:w="50" w:type="dxa"/>
              <w:start w:w="60" w:type="dxa"/>
              <w:bottom w:w="50" w:type="dxa"/>
              <w:end w:w="60" w:type="dxa"/>
            </w:tcMar>
            <w:vAlign w:val="center"/>
          </w:tcPr>
          <w:p>
            <w:r>
              <w:rPr>
                <w:sz w:val="16"/>
              </w:rPr>
              <w:t>Q2 FY2027 revenue $96.2B; Data Center $89.0B.</w:t>
            </w:r>
          </w:p>
        </w:tc>
        <w:tc>
          <w:tcPr>
            <w:tcW w:type="dxa" w:w="3888"/>
            <w:tcMar>
              <w:top w:w="50" w:type="dxa"/>
              <w:start w:w="60" w:type="dxa"/>
              <w:bottom w:w="50" w:type="dxa"/>
              <w:end w:w="60" w:type="dxa"/>
            </w:tcMar>
            <w:vAlign w:val="center"/>
          </w:tcPr>
          <w:p>
            <w:r>
              <w:rPr>
                <w:sz w:val="16"/>
              </w:rPr>
              <w:t>Confirms realized demand after allocation and purchase decisions have already occurred.</w:t>
            </w:r>
          </w:p>
        </w:tc>
      </w:tr>
      <w:tr>
        <w:tc>
          <w:tcPr>
            <w:tcW w:type="dxa" w:w="2160"/>
            <w:tcMar>
              <w:top w:w="50" w:type="dxa"/>
              <w:start w:w="60" w:type="dxa"/>
              <w:bottom w:w="50" w:type="dxa"/>
              <w:end w:w="60" w:type="dxa"/>
            </w:tcMar>
            <w:vAlign w:val="center"/>
            <w:shd w:fill="F3F6FA"/>
          </w:tcPr>
          <w:p>
            <w:r>
              <w:rPr>
                <w:sz w:val="16"/>
              </w:rPr>
              <w:t>Gross margin</w:t>
            </w:r>
          </w:p>
        </w:tc>
        <w:tc>
          <w:tcPr>
            <w:tcW w:type="dxa" w:w="1440"/>
            <w:tcMar>
              <w:top w:w="50" w:type="dxa"/>
              <w:start w:w="60" w:type="dxa"/>
              <w:bottom w:w="50" w:type="dxa"/>
              <w:end w:w="60" w:type="dxa"/>
            </w:tcMar>
            <w:vAlign w:val="center"/>
            <w:shd w:fill="F3F6FA"/>
          </w:tcPr>
          <w:p>
            <w:r>
              <w:rPr>
                <w:sz w:val="16"/>
              </w:rPr>
              <w:t>Lagging</w:t>
            </w:r>
          </w:p>
        </w:tc>
        <w:tc>
          <w:tcPr>
            <w:tcW w:type="dxa" w:w="3456"/>
            <w:tcMar>
              <w:top w:w="50" w:type="dxa"/>
              <w:start w:w="60" w:type="dxa"/>
              <w:bottom w:w="50" w:type="dxa"/>
              <w:end w:w="60" w:type="dxa"/>
            </w:tcMar>
            <w:vAlign w:val="center"/>
            <w:shd w:fill="F3F6FA"/>
          </w:tcPr>
          <w:p>
            <w:r>
              <w:rPr>
                <w:sz w:val="16"/>
              </w:rPr>
              <w:t>Q2 FY2027 GAAP and non-GAAP gross margin 75.0%.</w:t>
            </w:r>
          </w:p>
        </w:tc>
        <w:tc>
          <w:tcPr>
            <w:tcW w:type="dxa" w:w="3888"/>
            <w:tcMar>
              <w:top w:w="50" w:type="dxa"/>
              <w:start w:w="60" w:type="dxa"/>
              <w:bottom w:w="50" w:type="dxa"/>
              <w:end w:w="60" w:type="dxa"/>
            </w:tcMar>
            <w:vAlign w:val="center"/>
            <w:shd w:fill="F3F6FA"/>
          </w:tcPr>
          <w:p>
            <w:r>
              <w:rPr>
                <w:sz w:val="16"/>
              </w:rPr>
              <w:t>Measures value capture after pricing/mix outcomes; does not reveal where future workloads will land.</w:t>
            </w:r>
          </w:p>
        </w:tc>
      </w:tr>
      <w:tr>
        <w:tc>
          <w:tcPr>
            <w:tcW w:type="dxa" w:w="2160"/>
            <w:tcMar>
              <w:top w:w="50" w:type="dxa"/>
              <w:start w:w="60" w:type="dxa"/>
              <w:bottom w:w="50" w:type="dxa"/>
              <w:end w:w="60" w:type="dxa"/>
            </w:tcMar>
            <w:vAlign w:val="center"/>
          </w:tcPr>
          <w:p>
            <w:r>
              <w:rPr>
                <w:sz w:val="16"/>
              </w:rPr>
              <w:t>Customer concentration</w:t>
            </w:r>
          </w:p>
        </w:tc>
        <w:tc>
          <w:tcPr>
            <w:tcW w:type="dxa" w:w="1440"/>
            <w:tcMar>
              <w:top w:w="50" w:type="dxa"/>
              <w:start w:w="60" w:type="dxa"/>
              <w:bottom w:w="50" w:type="dxa"/>
              <w:end w:w="60" w:type="dxa"/>
            </w:tcMar>
            <w:vAlign w:val="center"/>
          </w:tcPr>
          <w:p>
            <w:r>
              <w:rPr>
                <w:sz w:val="16"/>
              </w:rPr>
              <w:t>Lagging / risk exposure</w:t>
            </w:r>
          </w:p>
        </w:tc>
        <w:tc>
          <w:tcPr>
            <w:tcW w:type="dxa" w:w="3456"/>
            <w:tcMar>
              <w:top w:w="50" w:type="dxa"/>
              <w:start w:w="60" w:type="dxa"/>
              <w:bottom w:w="50" w:type="dxa"/>
              <w:end w:w="60" w:type="dxa"/>
            </w:tcMar>
            <w:vAlign w:val="center"/>
          </w:tcPr>
          <w:p>
            <w:r>
              <w:rPr>
                <w:sz w:val="16"/>
              </w:rPr>
              <w:t>FY2026: one direct customer = 22% of revenue; another = 14%.</w:t>
            </w:r>
          </w:p>
        </w:tc>
        <w:tc>
          <w:tcPr>
            <w:tcW w:type="dxa" w:w="3888"/>
            <w:tcMar>
              <w:top w:w="50" w:type="dxa"/>
              <w:start w:w="60" w:type="dxa"/>
              <w:bottom w:w="50" w:type="dxa"/>
              <w:end w:w="60" w:type="dxa"/>
            </w:tcMar>
            <w:vAlign w:val="center"/>
          </w:tcPr>
          <w:p>
            <w:r>
              <w:rPr>
                <w:sz w:val="16"/>
              </w:rPr>
              <w:t>Shows dependence and scale of the threat, but not the direction of each customer’s next capacity commitment.</w:t>
            </w:r>
          </w:p>
        </w:tc>
      </w:tr>
      <w:tr>
        <w:tc>
          <w:tcPr>
            <w:tcW w:type="dxa" w:w="2160"/>
            <w:tcMar>
              <w:top w:w="50" w:type="dxa"/>
              <w:start w:w="60" w:type="dxa"/>
              <w:bottom w:w="50" w:type="dxa"/>
              <w:end w:w="60" w:type="dxa"/>
            </w:tcMar>
            <w:vAlign w:val="center"/>
            <w:shd w:fill="F3F6FA"/>
          </w:tcPr>
          <w:p>
            <w:r>
              <w:rPr>
                <w:sz w:val="16"/>
              </w:rPr>
              <w:t>Hyperscale / ACIE reporting framework</w:t>
            </w:r>
          </w:p>
        </w:tc>
        <w:tc>
          <w:tcPr>
            <w:tcW w:type="dxa" w:w="1440"/>
            <w:tcMar>
              <w:top w:w="50" w:type="dxa"/>
              <w:start w:w="60" w:type="dxa"/>
              <w:bottom w:w="50" w:type="dxa"/>
              <w:end w:w="60" w:type="dxa"/>
            </w:tcMar>
            <w:vAlign w:val="center"/>
            <w:shd w:fill="F3F6FA"/>
          </w:tcPr>
          <w:p>
            <w:r>
              <w:rPr>
                <w:sz w:val="16"/>
              </w:rPr>
              <w:t>Lagging segmentation</w:t>
            </w:r>
          </w:p>
        </w:tc>
        <w:tc>
          <w:tcPr>
            <w:tcW w:type="dxa" w:w="3456"/>
            <w:tcMar>
              <w:top w:w="50" w:type="dxa"/>
              <w:start w:w="60" w:type="dxa"/>
              <w:bottom w:w="50" w:type="dxa"/>
              <w:end w:w="60" w:type="dxa"/>
            </w:tcMar>
            <w:vAlign w:val="center"/>
            <w:shd w:fill="F3F6FA"/>
          </w:tcPr>
          <w:p>
            <w:r>
              <w:rPr>
                <w:sz w:val="16"/>
              </w:rPr>
              <w:t>Q1 FY2027 NVIDIA introduced Data Center sub-markets including Hyperscale and ACIE.</w:t>
            </w:r>
          </w:p>
        </w:tc>
        <w:tc>
          <w:tcPr>
            <w:tcW w:type="dxa" w:w="3888"/>
            <w:tcMar>
              <w:top w:w="50" w:type="dxa"/>
              <w:start w:w="60" w:type="dxa"/>
              <w:bottom w:w="50" w:type="dxa"/>
              <w:end w:w="60" w:type="dxa"/>
            </w:tcMar>
            <w:vAlign w:val="center"/>
            <w:shd w:fill="F3F6FA"/>
          </w:tcPr>
          <w:p>
            <w:r>
              <w:rPr>
                <w:sz w:val="16"/>
              </w:rPr>
              <w:t>Improves visibility into where booked revenue comes from, but still measures sales after competitive allocation.</w:t>
            </w:r>
          </w:p>
        </w:tc>
      </w:tr>
      <w:tr>
        <w:tc>
          <w:tcPr>
            <w:tcW w:type="dxa" w:w="2160"/>
            <w:tcMar>
              <w:top w:w="50" w:type="dxa"/>
              <w:start w:w="60" w:type="dxa"/>
              <w:bottom w:w="50" w:type="dxa"/>
              <w:end w:w="60" w:type="dxa"/>
            </w:tcMar>
            <w:vAlign w:val="center"/>
          </w:tcPr>
          <w:p>
            <w:r>
              <w:rPr>
                <w:sz w:val="16"/>
              </w:rPr>
              <w:t>Developer ecosystem scale</w:t>
            </w:r>
          </w:p>
        </w:tc>
        <w:tc>
          <w:tcPr>
            <w:tcW w:type="dxa" w:w="1440"/>
            <w:tcMar>
              <w:top w:w="50" w:type="dxa"/>
              <w:start w:w="60" w:type="dxa"/>
              <w:bottom w:w="50" w:type="dxa"/>
              <w:end w:w="60" w:type="dxa"/>
            </w:tcMar>
            <w:vAlign w:val="center"/>
          </w:tcPr>
          <w:p>
            <w:r>
              <w:rPr>
                <w:sz w:val="16"/>
              </w:rPr>
              <w:t>Intermediate / health indicator</w:t>
            </w:r>
          </w:p>
        </w:tc>
        <w:tc>
          <w:tcPr>
            <w:tcW w:type="dxa" w:w="3456"/>
            <w:tcMar>
              <w:top w:w="50" w:type="dxa"/>
              <w:start w:w="60" w:type="dxa"/>
              <w:bottom w:w="50" w:type="dxa"/>
              <w:end w:w="60" w:type="dxa"/>
            </w:tcMar>
            <w:vAlign w:val="center"/>
          </w:tcPr>
          <w:p>
            <w:r>
              <w:rPr>
                <w:sz w:val="16"/>
              </w:rPr>
              <w:t>FY2026 10-K reports 7.5M+ developers using CUDA and other NVIDIA software tools.</w:t>
            </w:r>
          </w:p>
        </w:tc>
        <w:tc>
          <w:tcPr>
            <w:tcW w:type="dxa" w:w="3888"/>
            <w:tcMar>
              <w:top w:w="50" w:type="dxa"/>
              <w:start w:w="60" w:type="dxa"/>
              <w:bottom w:w="50" w:type="dxa"/>
              <w:end w:w="60" w:type="dxa"/>
            </w:tcMar>
            <w:vAlign w:val="center"/>
          </w:tcPr>
          <w:p>
            <w:r>
              <w:rPr>
                <w:sz w:val="16"/>
              </w:rPr>
              <w:t>Closer to moat health than revenue, but broad developer count does not reveal substitution at the largest buyers.</w:t>
            </w:r>
          </w:p>
        </w:tc>
      </w:tr>
      <w:tr>
        <w:tc>
          <w:tcPr>
            <w:tcW w:type="dxa" w:w="2160"/>
            <w:tcMar>
              <w:top w:w="50" w:type="dxa"/>
              <w:start w:w="60" w:type="dxa"/>
              <w:bottom w:w="50" w:type="dxa"/>
              <w:end w:w="60" w:type="dxa"/>
            </w:tcMar>
            <w:vAlign w:val="center"/>
            <w:shd w:fill="F3F6FA"/>
          </w:tcPr>
          <w:p>
            <w:r>
              <w:rPr>
                <w:sz w:val="16"/>
              </w:rPr>
              <w:t>CUDA share of new AI workloads at top customers</w:t>
            </w:r>
          </w:p>
        </w:tc>
        <w:tc>
          <w:tcPr>
            <w:tcW w:type="dxa" w:w="1440"/>
            <w:tcMar>
              <w:top w:w="50" w:type="dxa"/>
              <w:start w:w="60" w:type="dxa"/>
              <w:bottom w:w="50" w:type="dxa"/>
              <w:end w:w="60" w:type="dxa"/>
            </w:tcMar>
            <w:vAlign w:val="center"/>
            <w:shd w:fill="F3F6FA"/>
          </w:tcPr>
          <w:p>
            <w:r>
              <w:rPr>
                <w:sz w:val="16"/>
              </w:rPr>
              <w:t>Strategic objective — leading</w:t>
            </w:r>
          </w:p>
        </w:tc>
        <w:tc>
          <w:tcPr>
            <w:tcW w:type="dxa" w:w="3456"/>
            <w:tcMar>
              <w:top w:w="50" w:type="dxa"/>
              <w:start w:w="60" w:type="dxa"/>
              <w:bottom w:w="50" w:type="dxa"/>
              <w:end w:w="60" w:type="dxa"/>
            </w:tcMar>
            <w:vAlign w:val="center"/>
            <w:shd w:fill="F3F6FA"/>
          </w:tcPr>
          <w:p>
            <w:r>
              <w:rPr>
                <w:sz w:val="16"/>
              </w:rPr>
              <w:t>Not publicly disclosed as a standardized KPI; requires customer/account and technical usage evidence.</w:t>
            </w:r>
          </w:p>
        </w:tc>
        <w:tc>
          <w:tcPr>
            <w:tcW w:type="dxa" w:w="3888"/>
            <w:tcMar>
              <w:top w:w="50" w:type="dxa"/>
              <w:start w:w="60" w:type="dxa"/>
              <w:bottom w:w="50" w:type="dxa"/>
              <w:end w:w="60" w:type="dxa"/>
            </w:tcMar>
            <w:vAlign w:val="center"/>
            <w:shd w:fill="F3F6FA"/>
          </w:tcPr>
          <w:p>
            <w:r>
              <w:rPr>
                <w:sz w:val="16"/>
              </w:rPr>
              <w:t>Winning Map objective. Best conceptual measure of whether CUDA remains the default for incremental AI demand.</w:t>
            </w:r>
          </w:p>
        </w:tc>
      </w:tr>
      <w:tr>
        <w:tc>
          <w:tcPr>
            <w:tcW w:type="dxa" w:w="2664"/>
            <w:vAlign w:val="center"/>
          </w:tcPr>
          <w:p>
            <w:r>
              <w:rPr>
                <w:sz w:val="16"/>
              </w:rPr>
              <w:t>NVIDIA share of newly committed accelerator capacity</w:t>
            </w:r>
          </w:p>
        </w:tc>
        <w:tc>
          <w:tcPr>
            <w:tcW w:type="dxa" w:w="2664"/>
            <w:vAlign w:val="center"/>
          </w:tcPr>
          <w:p>
            <w:r>
              <w:rPr>
                <w:sz w:val="16"/>
              </w:rPr>
              <w:t>Measurable proxy — leading</w:t>
            </w:r>
          </w:p>
        </w:tc>
        <w:tc>
          <w:tcPr>
            <w:tcW w:type="dxa" w:w="2664"/>
            <w:vAlign w:val="center"/>
          </w:tcPr>
          <w:p>
            <w:r>
              <w:rPr>
                <w:sz w:val="16"/>
              </w:rPr>
              <w:t>Not publicly disclosed as a standardized KPI; can be estimated from contracts, account-team data and public capacity commitments.</w:t>
            </w:r>
          </w:p>
        </w:tc>
        <w:tc>
          <w:tcPr>
            <w:tcW w:type="dxa" w:w="2664"/>
            <w:vAlign w:val="center"/>
          </w:tcPr>
          <w:p>
            <w:r>
              <w:rPr>
                <w:sz w:val="16"/>
              </w:rPr>
              <w:t>Practical proxy for the strategic workload-share objective. Must never be presented as actual workload share.</w:t>
            </w:r>
          </w:p>
        </w:tc>
      </w:tr>
    </w:tbl>
    <w:p>
      <w:pPr>
        <w:spacing w:before="160" w:after="60"/>
      </w:pPr>
      <w:r>
        <w:rPr>
          <w:rFonts w:ascii="Aptos Display" w:hAnsi="Aptos Display"/>
          <w:b/>
          <w:color w:val="244A70"/>
          <w:sz w:val="26"/>
        </w:rPr>
        <w:t>6. Why the Missing KPI Matters</w:t>
      </w:r>
    </w:p>
    <w:p>
      <w:pPr>
        <w:spacing w:after="60" w:line="240" w:lineRule="auto"/>
      </w:pPr>
      <w:r>
        <w:rPr>
          <w:rFonts w:ascii="Aptos" w:hAnsi="Aptos"/>
          <w:sz w:val="18"/>
        </w:rPr>
      </w:r>
      <w:r>
        <w:t>The substitute threat is observable in primary-source announcements, even while NVIDIA’s current financials remain exceptional. Google built TPUs specifically for machine learning; Meta developed the MTIA custom accelerator family for internal workloads; Microsoft introduced the Azure Maia AI Accelerator; and OpenAI announced 10 GW of OpenAI-designed custom accelerators with Broadcom shortly after announcing a large NVIDIA systems commitment. These announcements do not prove immediate NVIDIA revenue loss. They show that major AI buyers can allocate incremental capacity across NVIDIA and internal/custom alternatives simultaneously.</w:t>
      </w:r>
    </w:p>
    <w:p>
      <w:pPr>
        <w:spacing w:after="60" w:line="240" w:lineRule="auto"/>
      </w:pPr>
      <w:r>
        <w:rPr>
          <w:rFonts w:ascii="Aptos" w:hAnsi="Aptos"/>
          <w:sz w:val="18"/>
        </w:rPr>
      </w:r>
      <w:r>
        <w:t>This makes revenue a late signal. A customer can remain a major NVIDIA buyer while shifting part of its next generation of capacity — and therefore potentially future workloads — to a substitute. The board therefore needs a strategic workload-share objective plus a measurable capacity-commitment proxy, with the distinction between the two preserved in every brief, log, and presentation reference.</w:t>
      </w:r>
    </w:p>
    <w:p>
      <w:pPr>
        <w:spacing w:before="160" w:after="60"/>
      </w:pPr>
      <w:r>
        <w:rPr>
          <w:rFonts w:ascii="Aptos Display" w:hAnsi="Aptos Display"/>
          <w:b/>
          <w:color w:val="244A70"/>
          <w:sz w:val="26"/>
        </w:rPr>
        <w:t>7. Recommended Leading Indicator — Ecosystem Durability Scorecard</w:t>
      </w:r>
    </w:p>
    <w:p>
      <w:pPr>
        <w:spacing w:after="60" w:line="240" w:lineRule="auto"/>
      </w:pPr>
      <w:r>
        <w:rPr>
          <w:rFonts w:ascii="Aptos" w:hAnsi="Aptos"/>
          <w:sz w:val="18"/>
        </w:rPr>
      </w:r>
      <w:r>
        <w:t>Strategic objective: CUDA’s share of new AI workloads at top strategic customers. This is the Winning Map outcome the team ultimately wants to protect. Measurable proxy: NVIDIA’s share of each top customer’s newly committed accelerator capacity. Define the numerator as identifiable new capacity committed to NVIDIA platforms and the denominator as all identifiable new accelerator capacity committed by that customer during the measurement window. Use contracts, account-team estimates and public announcements, report confidence ranges, and never present the proxy as observed workload share.</w:t>
      </w: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trPr>
        <w:tc>
          <w:tcPr>
            <w:tcW w:type="dxa" w:w="2232"/>
            <w:shd w:fill="17365D"/>
            <w:vAlign w:val="center"/>
            <w:tcMar>
              <w:top w:w="50" w:type="dxa"/>
              <w:start w:w="60" w:type="dxa"/>
              <w:bottom w:w="50" w:type="dxa"/>
              <w:end w:w="60" w:type="dxa"/>
            </w:tcMar>
          </w:tcPr>
          <w:p>
            <w:r>
              <w:rPr>
                <w:sz w:val="16"/>
              </w:rPr>
              <w:t>Indicator</w:t>
            </w:r>
          </w:p>
        </w:tc>
        <w:tc>
          <w:tcPr>
            <w:tcW w:type="dxa" w:w="3600"/>
            <w:shd w:fill="17365D"/>
            <w:vAlign w:val="center"/>
            <w:tcMar>
              <w:top w:w="50" w:type="dxa"/>
              <w:start w:w="60" w:type="dxa"/>
              <w:bottom w:w="50" w:type="dxa"/>
              <w:end w:w="60" w:type="dxa"/>
            </w:tcMar>
          </w:tcPr>
          <w:p>
            <w:r>
              <w:rPr>
                <w:sz w:val="16"/>
              </w:rPr>
              <w:t>Definition &amp; baseline</w:t>
            </w:r>
          </w:p>
        </w:tc>
        <w:tc>
          <w:tcPr>
            <w:tcW w:type="dxa" w:w="1152"/>
            <w:shd w:fill="17365D"/>
            <w:vAlign w:val="center"/>
            <w:tcMar>
              <w:top w:w="50" w:type="dxa"/>
              <w:start w:w="60" w:type="dxa"/>
              <w:bottom w:w="50" w:type="dxa"/>
              <w:end w:w="60" w:type="dxa"/>
            </w:tcMar>
          </w:tcPr>
          <w:p>
            <w:r>
              <w:rPr>
                <w:sz w:val="16"/>
              </w:rPr>
              <w:t>Accountable role</w:t>
            </w:r>
          </w:p>
        </w:tc>
        <w:tc>
          <w:tcPr>
            <w:tcW w:type="dxa" w:w="3960"/>
            <w:shd w:fill="17365D"/>
            <w:vAlign w:val="center"/>
            <w:tcMar>
              <w:top w:w="50" w:type="dxa"/>
              <w:start w:w="60" w:type="dxa"/>
              <w:bottom w:w="50" w:type="dxa"/>
              <w:end w:w="60" w:type="dxa"/>
            </w:tcMar>
          </w:tcPr>
          <w:p>
            <w:r>
              <w:rPr>
                <w:sz w:val="16"/>
              </w:rPr>
              <w:t>Quarterly threshold / trigger</w:t>
            </w:r>
          </w:p>
        </w:tc>
      </w:tr>
      <w:tr>
        <w:tc>
          <w:tcPr>
            <w:tcW w:type="dxa" w:w="2232"/>
            <w:tcMar>
              <w:top w:w="50" w:type="dxa"/>
              <w:start w:w="60" w:type="dxa"/>
              <w:bottom w:w="50" w:type="dxa"/>
              <w:end w:w="60" w:type="dxa"/>
            </w:tcMar>
            <w:vAlign w:val="center"/>
          </w:tcPr>
          <w:p>
            <w:r>
              <w:rPr>
                <w:sz w:val="16"/>
              </w:rPr>
              <w:t>1. CUDA new-workload share — strategic objective</w:t>
            </w:r>
          </w:p>
        </w:tc>
        <w:tc>
          <w:tcPr>
            <w:tcW w:type="dxa" w:w="3600"/>
            <w:tcMar>
              <w:top w:w="50" w:type="dxa"/>
              <w:start w:w="60" w:type="dxa"/>
              <w:bottom w:w="50" w:type="dxa"/>
              <w:end w:w="60" w:type="dxa"/>
            </w:tcMar>
            <w:vAlign w:val="center"/>
          </w:tcPr>
          <w:p>
            <w:r>
              <w:rPr>
                <w:sz w:val="16"/>
              </w:rPr>
              <w:t>Strategic target: share of incremental AI workloads running on CUDA/NVIDIA at top strategic customers. Day-30 baseline: establish the best available rolling four-quarter estimate using account and technical evidence; mark confidence level.</w:t>
            </w:r>
          </w:p>
        </w:tc>
        <w:tc>
          <w:tcPr>
            <w:tcW w:type="dxa" w:w="1152"/>
            <w:tcMar>
              <w:top w:w="50" w:type="dxa"/>
              <w:start w:w="60" w:type="dxa"/>
              <w:bottom w:w="50" w:type="dxa"/>
              <w:end w:w="60" w:type="dxa"/>
            </w:tcMar>
            <w:vAlign w:val="center"/>
          </w:tcPr>
          <w:p>
            <w:r>
              <w:rPr>
                <w:sz w:val="16"/>
              </w:rPr>
              <w:t>Executive owner: CFO; metric inputs: strategic-account leadership + Developer Relations / platform teams.</w:t>
            </w:r>
          </w:p>
        </w:tc>
        <w:tc>
          <w:tcPr>
            <w:tcW w:type="dxa" w:w="3960"/>
            <w:tcMar>
              <w:top w:w="50" w:type="dxa"/>
              <w:start w:w="60" w:type="dxa"/>
              <w:bottom w:w="50" w:type="dxa"/>
              <w:end w:w="60" w:type="dxa"/>
            </w:tcMar>
            <w:vAlign w:val="center"/>
          </w:tcPr>
          <w:p>
            <w:r>
              <w:rPr>
                <w:sz w:val="16"/>
              </w:rPr>
              <w:t>GREEN: stable or improving vs. baseline. AMBER: estimated share down 5–10 percentage points in a top account or aggregate. RED: &gt;10-point decline, or two consecutive quarterly declines. AMBER triggers software-retention review; RED triggers joint pricing + software-investment review.</w:t>
            </w:r>
          </w:p>
        </w:tc>
      </w:tr>
      <w:tr>
        <w:tc>
          <w:tcPr>
            <w:tcW w:type="dxa" w:w="2232"/>
            <w:tcMar>
              <w:top w:w="50" w:type="dxa"/>
              <w:start w:w="60" w:type="dxa"/>
              <w:bottom w:w="50" w:type="dxa"/>
              <w:end w:w="60" w:type="dxa"/>
            </w:tcMar>
            <w:vAlign w:val="center"/>
            <w:shd w:fill="F3F6FA"/>
          </w:tcPr>
          <w:p>
            <w:r>
              <w:rPr>
                <w:sz w:val="16"/>
              </w:rPr>
              <w:t>2. Capacity-share proxy — measurable leading KPI</w:t>
            </w:r>
          </w:p>
        </w:tc>
        <w:tc>
          <w:tcPr>
            <w:tcW w:type="dxa" w:w="3600"/>
            <w:tcMar>
              <w:top w:w="50" w:type="dxa"/>
              <w:start w:w="60" w:type="dxa"/>
              <w:bottom w:w="50" w:type="dxa"/>
              <w:end w:w="60" w:type="dxa"/>
            </w:tcMar>
            <w:vAlign w:val="center"/>
            <w:shd w:fill="F3F6FA"/>
          </w:tcPr>
          <w:p>
            <w:r>
              <w:rPr>
                <w:sz w:val="16"/>
              </w:rPr>
              <w:t>NVIDIA accelerator capacity / all identifiable newly committed accelerator capacity by top customer. Day-30 baseline: reconstruct prior four quarters from contracts, account estimates and public commitments; report confidence range.</w:t>
            </w:r>
          </w:p>
        </w:tc>
        <w:tc>
          <w:tcPr>
            <w:tcW w:type="dxa" w:w="1152"/>
            <w:tcMar>
              <w:top w:w="50" w:type="dxa"/>
              <w:start w:w="60" w:type="dxa"/>
              <w:bottom w:w="50" w:type="dxa"/>
              <w:end w:w="60" w:type="dxa"/>
            </w:tcMar>
            <w:vAlign w:val="center"/>
            <w:shd w:fill="F3F6FA"/>
          </w:tcPr>
          <w:p>
            <w:r>
              <w:rPr>
                <w:sz w:val="16"/>
              </w:rPr>
              <w:t>Strategic-account leadership owns customer estimates; Finance/FP&amp;A normalizes the scorecard and confidence ranges.</w:t>
            </w:r>
          </w:p>
        </w:tc>
        <w:tc>
          <w:tcPr>
            <w:tcW w:type="dxa" w:w="3960"/>
            <w:tcMar>
              <w:top w:w="50" w:type="dxa"/>
              <w:start w:w="60" w:type="dxa"/>
              <w:bottom w:w="50" w:type="dxa"/>
              <w:end w:w="60" w:type="dxa"/>
            </w:tcMar>
            <w:vAlign w:val="center"/>
            <w:shd w:fill="F3F6FA"/>
          </w:tcPr>
          <w:p>
            <w:r>
              <w:rPr>
                <w:sz w:val="16"/>
              </w:rPr>
              <w:t>GREEN: decline &lt;5 points QoQ. AMBER: 5–10-point decline in a top account or aggregate. RED: &gt;10-point decline or &lt;60% of identifiable new capacity in any top account. AMBER triggers account-level pricing/package review; RED triggers executive pricing + platform-investment review.</w:t>
            </w:r>
          </w:p>
        </w:tc>
      </w:tr>
      <w:tr>
        <w:tc>
          <w:tcPr>
            <w:tcW w:type="dxa" w:w="2232"/>
            <w:tcMar>
              <w:top w:w="50" w:type="dxa"/>
              <w:start w:w="60" w:type="dxa"/>
              <w:bottom w:w="50" w:type="dxa"/>
              <w:end w:w="60" w:type="dxa"/>
            </w:tcMar>
            <w:vAlign w:val="center"/>
          </w:tcPr>
          <w:p>
            <w:r>
              <w:rPr>
                <w:sz w:val="16"/>
              </w:rPr>
              <w:t>3. Strategic CUDA cohort retention</w:t>
            </w:r>
          </w:p>
        </w:tc>
        <w:tc>
          <w:tcPr>
            <w:tcW w:type="dxa" w:w="3600"/>
            <w:tcMar>
              <w:top w:w="50" w:type="dxa"/>
              <w:start w:w="60" w:type="dxa"/>
              <w:bottom w:w="50" w:type="dxa"/>
              <w:end w:w="60" w:type="dxa"/>
            </w:tcMar>
            <w:vAlign w:val="center"/>
          </w:tcPr>
          <w:p>
            <w:r>
              <w:rPr>
                <w:sz w:val="16"/>
              </w:rPr>
              <w:t>Quarterly active/retained CUDA usage among defined developer cohorts at top accounts and priority AI-native firms. Baseline: trailing four-quarter cohort retention established by Day 45.</w:t>
            </w:r>
          </w:p>
        </w:tc>
        <w:tc>
          <w:tcPr>
            <w:tcW w:type="dxa" w:w="1152"/>
            <w:tcMar>
              <w:top w:w="50" w:type="dxa"/>
              <w:start w:w="60" w:type="dxa"/>
              <w:bottom w:w="50" w:type="dxa"/>
              <w:end w:w="60" w:type="dxa"/>
            </w:tcMar>
            <w:vAlign w:val="center"/>
          </w:tcPr>
          <w:p>
            <w:r>
              <w:rPr>
                <w:sz w:val="16"/>
              </w:rPr>
              <w:t>Developer Relations / software-platform leadership.</w:t>
            </w:r>
          </w:p>
        </w:tc>
        <w:tc>
          <w:tcPr>
            <w:tcW w:type="dxa" w:w="3960"/>
            <w:tcMar>
              <w:top w:w="50" w:type="dxa"/>
              <w:start w:w="60" w:type="dxa"/>
              <w:bottom w:w="50" w:type="dxa"/>
              <w:end w:w="60" w:type="dxa"/>
            </w:tcMar>
            <w:vAlign w:val="center"/>
          </w:tcPr>
          <w:p>
            <w:r>
              <w:rPr>
                <w:sz w:val="16"/>
              </w:rPr>
              <w:t>GREEN: ≥95% of baseline retention. AMBER: 90–95%. RED: &lt;90% or a &gt;10% decline in active strategic developers. AMBER triggers developer enablement intervention; RED triggers accelerated library/tooling investment review.</w:t>
            </w:r>
          </w:p>
        </w:tc>
      </w:tr>
      <w:tr>
        <w:tc>
          <w:tcPr>
            <w:tcW w:type="dxa" w:w="2232"/>
            <w:tcMar>
              <w:top w:w="50" w:type="dxa"/>
              <w:start w:w="60" w:type="dxa"/>
              <w:bottom w:w="50" w:type="dxa"/>
              <w:end w:w="60" w:type="dxa"/>
            </w:tcMar>
            <w:vAlign w:val="center"/>
            <w:shd w:fill="F3F6FA"/>
          </w:tcPr>
          <w:p>
            <w:r>
              <w:rPr>
                <w:sz w:val="16"/>
              </w:rPr>
              <w:t>4. Substitute-capacity pipeline</w:t>
            </w:r>
          </w:p>
        </w:tc>
        <w:tc>
          <w:tcPr>
            <w:tcW w:type="dxa" w:w="3600"/>
            <w:tcMar>
              <w:top w:w="50" w:type="dxa"/>
              <w:start w:w="60" w:type="dxa"/>
              <w:bottom w:w="50" w:type="dxa"/>
              <w:end w:w="60" w:type="dxa"/>
            </w:tcMar>
            <w:vAlign w:val="center"/>
            <w:shd w:fill="F3F6FA"/>
          </w:tcPr>
          <w:p>
            <w:r>
              <w:rPr>
                <w:sz w:val="16"/>
              </w:rPr>
              <w:t>Identifiable internally designed/custom accelerator capacity at top accounts, separated from NVIDIA capacity. Baseline: inventory all announced/contracted substitute programs and estimated deployment timing by Day 45.</w:t>
            </w:r>
          </w:p>
        </w:tc>
        <w:tc>
          <w:tcPr>
            <w:tcW w:type="dxa" w:w="1152"/>
            <w:tcMar>
              <w:top w:w="50" w:type="dxa"/>
              <w:start w:w="60" w:type="dxa"/>
              <w:bottom w:w="50" w:type="dxa"/>
              <w:end w:w="60" w:type="dxa"/>
            </w:tcMar>
            <w:vAlign w:val="center"/>
            <w:shd w:fill="F3F6FA"/>
          </w:tcPr>
          <w:p>
            <w:r>
              <w:rPr>
                <w:sz w:val="16"/>
              </w:rPr>
              <w:t>Strategic-account leadership + Competitive Intelligence / Strategy; Finance validates exposure.</w:t>
            </w:r>
          </w:p>
        </w:tc>
        <w:tc>
          <w:tcPr>
            <w:tcW w:type="dxa" w:w="3960"/>
            <w:tcMar>
              <w:top w:w="50" w:type="dxa"/>
              <w:start w:w="60" w:type="dxa"/>
              <w:bottom w:w="50" w:type="dxa"/>
              <w:end w:w="60" w:type="dxa"/>
            </w:tcMar>
            <w:vAlign w:val="center"/>
            <w:shd w:fill="F3F6FA"/>
          </w:tcPr>
          <w:p>
            <w:r>
              <w:rPr>
                <w:sz w:val="16"/>
              </w:rPr>
              <w:t>AMBER: substitute capacity reaches ≥25% of identifiable new capacity at a top account. RED: ≥40%, or a substitute becomes the planned default for a major new workload class. RED triggers combined pricing, software-roadmap and account-retention review.</w:t>
            </w:r>
          </w:p>
        </w:tc>
      </w:tr>
      <w:tr>
        <w:tc>
          <w:tcPr>
            <w:tcW w:type="dxa" w:w="2664"/>
            <w:vAlign w:val="center"/>
          </w:tcPr>
          <w:p>
            <w:r>
              <w:rPr>
                <w:sz w:val="16"/>
              </w:rPr>
              <w:t>5. Concentration context</w:t>
            </w:r>
          </w:p>
        </w:tc>
        <w:tc>
          <w:tcPr>
            <w:tcW w:type="dxa" w:w="2664"/>
            <w:vAlign w:val="center"/>
          </w:tcPr>
          <w:p>
            <w:r>
              <w:rPr>
                <w:sz w:val="16"/>
              </w:rPr>
              <w:t>Direct-buyer concentration and, where supportable, end-customer exposure kept separate. Baseline: FY2026 direct-customer concentration (22% and 14%) plus internally mapped end-customer estimates.</w:t>
            </w:r>
          </w:p>
        </w:tc>
        <w:tc>
          <w:tcPr>
            <w:tcW w:type="dxa" w:w="2664"/>
            <w:vAlign w:val="center"/>
          </w:tcPr>
          <w:p>
            <w:r>
              <w:rPr>
                <w:sz w:val="16"/>
              </w:rPr>
              <w:t>Finance/FP&amp;A with Sales Operations.</w:t>
            </w:r>
          </w:p>
        </w:tc>
        <w:tc>
          <w:tcPr>
            <w:tcW w:type="dxa" w:w="2664"/>
            <w:vAlign w:val="center"/>
          </w:tcPr>
          <w:p>
            <w:r>
              <w:rPr>
                <w:sz w:val="16"/>
              </w:rPr>
              <w:t>No standalone red/green judgment. Use as severity multiplier: an Amber/Red signal at a highly concentrated account receives immediate executive review.</w:t>
            </w:r>
          </w:p>
        </w:tc>
      </w:tr>
    </w:tbl>
    <w:p>
      <w:pPr/>
      <w:r>
        <w:rPr>
          <w:b/>
        </w:rPr>
        <w:t>8. 90-Day Recommendation — Ecosystem Durability Scorecard</w:t>
      </w:r>
    </w:p>
    <w:p>
      <w:r>
        <w:rPr>
          <w:b/>
        </w:rPr>
        <w:t xml:space="preserve">Recommendation: </w:t>
      </w:r>
      <w:r>
        <w:t>Within 90 days, the CFO should deliver the first quarterly Ecosystem Durability Scorecard to executive leadership and the Board. The scorecard must preserve CUDA share of new AI workloads as the strategic objective, use newly committed accelerator capacity only as a measurable proxy, assign metric owners, establish rolling baselines and confidence ranges, and trigger explicit pricing or software-investment reviews when deterioration thresholds are crossed.</w:t>
      </w:r>
    </w:p>
    <w:p>
      <w:r>
        <w:rPr>
          <w:b/>
        </w:rPr>
        <w:t xml:space="preserve">Execution sequence: </w:t>
      </w:r>
      <w:r>
        <w:t>Days 1–30 — define the top strategic-customer cohort, metric definitions, data owners and rolling baselines. Days 31–60 — validate account-level capacity estimates, developer-cohort measurements and confidence ranges. Days 61–90 — run the first scorecard, classify each indicator Green/Amber/Red, document triggered actions, and place the scorecard on a quarterly executive/Board review cadence.</w:t>
      </w:r>
    </w:p>
    <w:p>
      <w:r>
        <w:rPr>
          <w:b/>
        </w:rPr>
        <w:t xml:space="preserve">Trigger logic: </w:t>
      </w:r>
      <w:r>
        <w:t>Amber is an early intervention signal, not a conclusion that the moat has failed; it initiates an account-specific pricing/package or developer-retention review. Red requires a joint review of pricing economics and software/platform investment because simultaneous deterioration in workload/capacity share and ecosystem retention would indicate that substitution is moving from a theoretical threat toward measurable allocation change.</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center"/>
          </w:tcPr>
          <w:p>
            <w:r>
              <w:rPr>
                <w:sz w:val="15"/>
              </w:rPr>
              <w:t>Window</w:t>
            </w:r>
          </w:p>
        </w:tc>
        <w:tc>
          <w:tcPr>
            <w:tcW w:type="dxa" w:w="2131"/>
            <w:vAlign w:val="center"/>
          </w:tcPr>
          <w:p>
            <w:r>
              <w:rPr>
                <w:sz w:val="15"/>
              </w:rPr>
              <w:t>Deliverable</w:t>
            </w:r>
          </w:p>
        </w:tc>
        <w:tc>
          <w:tcPr>
            <w:tcW w:type="dxa" w:w="2131"/>
            <w:vAlign w:val="center"/>
          </w:tcPr>
          <w:p>
            <w:r>
              <w:rPr>
                <w:sz w:val="15"/>
              </w:rPr>
              <w:t>Accountable role</w:t>
            </w:r>
          </w:p>
        </w:tc>
        <w:tc>
          <w:tcPr>
            <w:tcW w:type="dxa" w:w="2131"/>
            <w:vAlign w:val="center"/>
          </w:tcPr>
          <w:p>
            <w:r>
              <w:rPr>
                <w:sz w:val="15"/>
              </w:rPr>
              <w:t>Required output</w:t>
            </w:r>
          </w:p>
        </w:tc>
        <w:tc>
          <w:tcPr>
            <w:tcW w:type="dxa" w:w="2131"/>
            <w:vAlign w:val="center"/>
          </w:tcPr>
          <w:p>
            <w:r>
              <w:rPr>
                <w:sz w:val="15"/>
              </w:rPr>
              <w:t>Decision gate</w:t>
            </w:r>
          </w:p>
        </w:tc>
      </w:tr>
      <w:tr>
        <w:tc>
          <w:tcPr>
            <w:tcW w:type="dxa" w:w="2131"/>
            <w:vAlign w:val="center"/>
          </w:tcPr>
          <w:p>
            <w:r>
              <w:rPr>
                <w:sz w:val="15"/>
              </w:rPr>
              <w:t>Days 1–30</w:t>
            </w:r>
          </w:p>
        </w:tc>
        <w:tc>
          <w:tcPr>
            <w:tcW w:type="dxa" w:w="2131"/>
            <w:vAlign w:val="center"/>
          </w:tcPr>
          <w:p>
            <w:r>
              <w:rPr>
                <w:sz w:val="15"/>
              </w:rPr>
              <w:t>Metric charter + baseline build</w:t>
            </w:r>
          </w:p>
        </w:tc>
        <w:tc>
          <w:tcPr>
            <w:tcW w:type="dxa" w:w="2131"/>
            <w:vAlign w:val="center"/>
          </w:tcPr>
          <w:p>
            <w:r>
              <w:rPr>
                <w:sz w:val="15"/>
              </w:rPr>
              <w:t>CFO (executive owner); Finance/FP&amp;A</w:t>
            </w:r>
          </w:p>
        </w:tc>
        <w:tc>
          <w:tcPr>
            <w:tcW w:type="dxa" w:w="2131"/>
            <w:vAlign w:val="center"/>
          </w:tcPr>
          <w:p>
            <w:r>
              <w:rPr>
                <w:sz w:val="15"/>
              </w:rPr>
              <w:t>Top-customer cohort; workload-share objective; capacity-share proxy; rolling four-quarter baselines; confidence labels</w:t>
            </w:r>
          </w:p>
        </w:tc>
        <w:tc>
          <w:tcPr>
            <w:tcW w:type="dxa" w:w="2131"/>
            <w:vAlign w:val="center"/>
          </w:tcPr>
          <w:p>
            <w:r>
              <w:rPr>
                <w:sz w:val="15"/>
              </w:rPr>
              <w:t>Definitions approved; no proxy may be labeled workload share</w:t>
            </w:r>
          </w:p>
        </w:tc>
      </w:tr>
      <w:tr>
        <w:tc>
          <w:tcPr>
            <w:tcW w:type="dxa" w:w="2131"/>
            <w:vAlign w:val="center"/>
          </w:tcPr>
          <w:p>
            <w:r>
              <w:rPr>
                <w:sz w:val="15"/>
              </w:rPr>
              <w:t>Days 31–60</w:t>
            </w:r>
          </w:p>
        </w:tc>
        <w:tc>
          <w:tcPr>
            <w:tcW w:type="dxa" w:w="2131"/>
            <w:vAlign w:val="center"/>
          </w:tcPr>
          <w:p>
            <w:r>
              <w:rPr>
                <w:sz w:val="15"/>
              </w:rPr>
              <w:t>Data validation + first dry run</w:t>
            </w:r>
          </w:p>
        </w:tc>
        <w:tc>
          <w:tcPr>
            <w:tcW w:type="dxa" w:w="2131"/>
            <w:vAlign w:val="center"/>
          </w:tcPr>
          <w:p>
            <w:r>
              <w:rPr>
                <w:sz w:val="15"/>
              </w:rPr>
              <w:t>Strategic-account leadership; Developer Relations / platform leadership</w:t>
            </w:r>
          </w:p>
        </w:tc>
        <w:tc>
          <w:tcPr>
            <w:tcW w:type="dxa" w:w="2131"/>
            <w:vAlign w:val="center"/>
          </w:tcPr>
          <w:p>
            <w:r>
              <w:rPr>
                <w:sz w:val="15"/>
              </w:rPr>
              <w:t>Capacity estimates, substitute pipeline, strategic CUDA cohort retention, concentration context</w:t>
            </w:r>
          </w:p>
        </w:tc>
        <w:tc>
          <w:tcPr>
            <w:tcW w:type="dxa" w:w="2131"/>
            <w:vAlign w:val="center"/>
          </w:tcPr>
          <w:p>
            <w:r>
              <w:rPr>
                <w:sz w:val="15"/>
              </w:rPr>
              <w:t>Any data gap receives confidence range and remediation owner</w:t>
            </w:r>
          </w:p>
        </w:tc>
      </w:tr>
      <w:tr>
        <w:tc>
          <w:tcPr>
            <w:tcW w:type="dxa" w:w="2131"/>
            <w:vAlign w:val="center"/>
          </w:tcPr>
          <w:p>
            <w:r>
              <w:rPr>
                <w:sz w:val="15"/>
              </w:rPr>
              <w:t>Days 61–90</w:t>
            </w:r>
          </w:p>
        </w:tc>
        <w:tc>
          <w:tcPr>
            <w:tcW w:type="dxa" w:w="2131"/>
            <w:vAlign w:val="center"/>
          </w:tcPr>
          <w:p>
            <w:r>
              <w:rPr>
                <w:sz w:val="15"/>
              </w:rPr>
              <w:t>First Board-ready scorecard</w:t>
            </w:r>
          </w:p>
        </w:tc>
        <w:tc>
          <w:tcPr>
            <w:tcW w:type="dxa" w:w="2131"/>
            <w:vAlign w:val="center"/>
          </w:tcPr>
          <w:p>
            <w:r>
              <w:rPr>
                <w:sz w:val="15"/>
              </w:rPr>
              <w:t>CFO consolidates; executive leadership reviews</w:t>
            </w:r>
          </w:p>
        </w:tc>
        <w:tc>
          <w:tcPr>
            <w:tcW w:type="dxa" w:w="2131"/>
            <w:vAlign w:val="center"/>
          </w:tcPr>
          <w:p>
            <w:r>
              <w:rPr>
                <w:sz w:val="15"/>
              </w:rPr>
              <w:t>Green/Amber/Red results, account exceptions, triggered pricing/software actions, named owners and due dates</w:t>
            </w:r>
          </w:p>
        </w:tc>
        <w:tc>
          <w:tcPr>
            <w:tcW w:type="dxa" w:w="2131"/>
            <w:vAlign w:val="center"/>
          </w:tcPr>
          <w:p>
            <w:r>
              <w:rPr>
                <w:sz w:val="15"/>
              </w:rPr>
              <w:t>Amber = targeted intervention; Red = joint pricing + software/platform investment review</w:t>
            </w:r>
          </w:p>
        </w:tc>
      </w:tr>
      <w:tr>
        <w:tc>
          <w:tcPr>
            <w:tcW w:type="dxa" w:w="2131"/>
            <w:vAlign w:val="center"/>
          </w:tcPr>
          <w:p>
            <w:r>
              <w:rPr>
                <w:sz w:val="15"/>
              </w:rPr>
              <w:t>Quarterly thereafter</w:t>
            </w:r>
          </w:p>
        </w:tc>
        <w:tc>
          <w:tcPr>
            <w:tcW w:type="dxa" w:w="2131"/>
            <w:vAlign w:val="center"/>
          </w:tcPr>
          <w:p>
            <w:r>
              <w:rPr>
                <w:sz w:val="15"/>
              </w:rPr>
              <w:t>Repeat + trend review</w:t>
            </w:r>
          </w:p>
        </w:tc>
        <w:tc>
          <w:tcPr>
            <w:tcW w:type="dxa" w:w="2131"/>
            <w:vAlign w:val="center"/>
          </w:tcPr>
          <w:p>
            <w:r>
              <w:rPr>
                <w:sz w:val="15"/>
              </w:rPr>
              <w:t>CFO + metric owners; Board strategic oversight</w:t>
            </w:r>
          </w:p>
        </w:tc>
        <w:tc>
          <w:tcPr>
            <w:tcW w:type="dxa" w:w="2131"/>
            <w:vAlign w:val="center"/>
          </w:tcPr>
          <w:p>
            <w:r>
              <w:rPr>
                <w:sz w:val="15"/>
              </w:rPr>
              <w:t>QoQ trend, confidence changes, action closure; baseline resets only with documented rationale</w:t>
            </w:r>
          </w:p>
        </w:tc>
        <w:tc>
          <w:tcPr>
            <w:tcW w:type="dxa" w:w="2131"/>
            <w:vAlign w:val="center"/>
          </w:tcPr>
          <w:p>
            <w:r>
              <w:rPr>
                <w:sz w:val="15"/>
              </w:rPr>
              <w:t>Two consecutive negative quarters automatically escalate to executive review</w:t>
            </w:r>
          </w:p>
        </w:tc>
      </w:tr>
    </w:tbl>
    <w:p>
      <w:pPr>
        <w:spacing w:before="160" w:after="60"/>
      </w:pPr>
      <w:r>
        <w:rPr>
          <w:rFonts w:ascii="Aptos Display" w:hAnsi="Aptos Display"/>
          <w:b/>
          <w:color w:val="244A70"/>
          <w:sz w:val="26"/>
        </w:rPr>
      </w:r>
      <w:r>
        <w:t>9. Framework Evidence Log Rows 6–7 — Handoff Version</w:t>
      </w: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trPr>
        <w:tc>
          <w:tcPr>
            <w:tcW w:type="dxa" w:w="1512"/>
            <w:shd w:fill="17365D"/>
            <w:vAlign w:val="center"/>
            <w:tcMar>
              <w:top w:w="50" w:type="dxa"/>
              <w:start w:w="60" w:type="dxa"/>
              <w:bottom w:w="50" w:type="dxa"/>
              <w:end w:w="60" w:type="dxa"/>
            </w:tcMar>
          </w:tcPr>
          <w:p>
            <w:r>
              <w:rPr>
                <w:sz w:val="15"/>
              </w:rPr>
              <w:t>Framework</w:t>
            </w:r>
          </w:p>
        </w:tc>
        <w:tc>
          <w:tcPr>
            <w:tcW w:type="dxa" w:w="3240"/>
            <w:shd w:fill="17365D"/>
            <w:vAlign w:val="center"/>
            <w:tcMar>
              <w:top w:w="50" w:type="dxa"/>
              <w:start w:w="60" w:type="dxa"/>
              <w:bottom w:w="50" w:type="dxa"/>
              <w:end w:w="60" w:type="dxa"/>
            </w:tcMar>
          </w:tcPr>
          <w:p>
            <w:r>
              <w:rPr>
                <w:sz w:val="15"/>
              </w:rPr>
              <w:t>Verdict</w:t>
            </w:r>
          </w:p>
        </w:tc>
        <w:tc>
          <w:tcPr>
            <w:tcW w:type="dxa" w:w="3528"/>
            <w:shd w:fill="17365D"/>
            <w:vAlign w:val="center"/>
            <w:tcMar>
              <w:top w:w="50" w:type="dxa"/>
              <w:start w:w="60" w:type="dxa"/>
              <w:bottom w:w="50" w:type="dxa"/>
              <w:end w:w="60" w:type="dxa"/>
            </w:tcMar>
          </w:tcPr>
          <w:p>
            <w:r>
              <w:rPr>
                <w:sz w:val="15"/>
              </w:rPr>
              <w:t>Evidence</w:t>
            </w:r>
          </w:p>
        </w:tc>
        <w:tc>
          <w:tcPr>
            <w:tcW w:type="dxa" w:w="3024"/>
            <w:shd w:fill="17365D"/>
            <w:vAlign w:val="center"/>
            <w:tcMar>
              <w:top w:w="50" w:type="dxa"/>
              <w:start w:w="60" w:type="dxa"/>
              <w:bottom w:w="50" w:type="dxa"/>
              <w:end w:w="60" w:type="dxa"/>
            </w:tcMar>
          </w:tcPr>
          <w:p>
            <w:r>
              <w:rPr>
                <w:sz w:val="15"/>
              </w:rPr>
              <w:t>Source</w:t>
            </w:r>
          </w:p>
        </w:tc>
      </w:tr>
      <w:tr>
        <w:tc>
          <w:tcPr>
            <w:tcW w:type="dxa" w:w="1512"/>
            <w:tcMar>
              <w:top w:w="50" w:type="dxa"/>
              <w:start w:w="60" w:type="dxa"/>
              <w:bottom w:w="50" w:type="dxa"/>
              <w:end w:w="60" w:type="dxa"/>
            </w:tcMar>
            <w:vAlign w:val="center"/>
          </w:tcPr>
          <w:p>
            <w:r>
              <w:rPr>
                <w:sz w:val="15"/>
              </w:rPr>
              <w:t>6. Roadmap Quality</w:t>
            </w:r>
          </w:p>
        </w:tc>
        <w:tc>
          <w:tcPr>
            <w:tcW w:type="dxa" w:w="3240"/>
            <w:tcMar>
              <w:top w:w="50" w:type="dxa"/>
              <w:start w:w="60" w:type="dxa"/>
              <w:bottom w:w="50" w:type="dxa"/>
              <w:end w:w="60" w:type="dxa"/>
            </w:tcMar>
            <w:vAlign w:val="center"/>
          </w:tcPr>
          <w:p>
            <w:r>
              <w:rPr>
                <w:sz w:val="15"/>
              </w:rPr>
              <w:t>Crawl/Walk/Run sequencing was honored: CUDA established the software foundation; cuDNN specialized it for deep learning; DGX productized the stack; Mellanox added scale-out networking; Hopper and Blackwell then extended the integrated platform into successive AI-infrastructure generations. Board-level strategic oversight is evidenced, while detailed cross-functional execution governance remains insufficient public data.</w:t>
            </w:r>
          </w:p>
        </w:tc>
        <w:tc>
          <w:tcPr>
            <w:tcW w:type="dxa" w:w="3528"/>
            <w:tcMar>
              <w:top w:w="50" w:type="dxa"/>
              <w:start w:w="60" w:type="dxa"/>
              <w:bottom w:w="50" w:type="dxa"/>
              <w:end w:w="60" w:type="dxa"/>
            </w:tcMar>
            <w:vAlign w:val="center"/>
          </w:tcPr>
          <w:p>
            <w:r>
              <w:rPr>
                <w:sz w:val="15"/>
              </w:rPr>
              <w:t>CUDA introduced Nov. 2006; cuDNN Sept. 7, 2014; DGX-1 Apr. 5, 2016; Mellanox acquisition completed Apr. 27, 2020 for $7B; Hopper announced Mar. 22, 2022; Blackwell announced Mar. 18, 2024; FY2026 Data Center revenue reached $193.737B. NVIDIA’s 2026 Proxy Statement supports Board oversight of strategic risk/strategic execution but does not disclose detailed cross-functional execution governance.</w:t>
            </w:r>
          </w:p>
        </w:tc>
        <w:tc>
          <w:tcPr>
            <w:tcW w:type="dxa" w:w="3024"/>
            <w:tcMar>
              <w:top w:w="50" w:type="dxa"/>
              <w:start w:w="60" w:type="dxa"/>
              <w:bottom w:w="50" w:type="dxa"/>
              <w:end w:w="60" w:type="dxa"/>
            </w:tcMar>
            <w:vAlign w:val="center"/>
          </w:tcPr>
          <w:p>
            <w:r>
              <w:rPr>
                <w:sz w:val="15"/>
              </w:rPr>
              <w:t>NVIDIA CUDA C++ Programming Guide; NVIDIA Technical Blog, Sept. 7, 2014; NVIDIA DGX-1 release, Apr. 5, 2016; NVIDIA Mellanox completion release, Apr. 27, 2020; NVIDIA Hopper release, Mar. 22, 2022; NVIDIA Blackwell release, Mar. 18, 2024; NVIDIA FY2026 Form 10-K, filed Feb. 25, 2026; NVIDIA 2026 Proxy Statement, filed May 12, 2026.</w:t>
            </w:r>
          </w:p>
        </w:tc>
      </w:tr>
      <w:tr>
        <w:tc>
          <w:tcPr>
            <w:tcW w:type="dxa" w:w="1512"/>
            <w:tcMar>
              <w:top w:w="50" w:type="dxa"/>
              <w:start w:w="60" w:type="dxa"/>
              <w:bottom w:w="50" w:type="dxa"/>
              <w:end w:w="60" w:type="dxa"/>
            </w:tcMar>
            <w:vAlign w:val="center"/>
            <w:shd w:fill="F3F6FA"/>
          </w:tcPr>
          <w:p>
            <w:r>
              <w:rPr>
                <w:sz w:val="15"/>
              </w:rPr>
              <w:t>7. KPI Validity</w:t>
            </w:r>
          </w:p>
        </w:tc>
        <w:tc>
          <w:tcPr>
            <w:tcW w:type="dxa" w:w="3240"/>
            <w:tcMar>
              <w:top w:w="50" w:type="dxa"/>
              <w:start w:w="60" w:type="dxa"/>
              <w:bottom w:w="50" w:type="dxa"/>
              <w:end w:w="60" w:type="dxa"/>
            </w:tcMar>
            <w:vAlign w:val="center"/>
            <w:shd w:fill="F3F6FA"/>
          </w:tcPr>
          <w:p>
            <w:r>
              <w:rPr>
                <w:sz w:val="15"/>
              </w:rPr>
              <w:t>Public KPIs are predominantly lagging. The strategic objective is CUDA’s share of new AI workloads at top customers; the measurable leading proxy is NVIDIA’s share of each top customer’s newly committed accelerator capacity. The proxy must not be presented as actual workload share.</w:t>
            </w:r>
          </w:p>
        </w:tc>
        <w:tc>
          <w:tcPr>
            <w:tcW w:type="dxa" w:w="3528"/>
            <w:tcMar>
              <w:top w:w="50" w:type="dxa"/>
              <w:start w:w="60" w:type="dxa"/>
              <w:bottom w:w="50" w:type="dxa"/>
              <w:end w:w="60" w:type="dxa"/>
            </w:tcMar>
            <w:vAlign w:val="center"/>
            <w:shd w:fill="F3F6FA"/>
          </w:tcPr>
          <w:p>
            <w:r>
              <w:rPr>
                <w:sz w:val="15"/>
              </w:rPr>
              <w:t>Q2 FY2027 revenue was $96.2B and Data Center revenue $89.0B; FY2026 top two direct customers represented 36% of revenue. Google TPU, Meta MTIA, Microsoft Maia and OpenAI/Broadcom show that major AI buyers can allocate new capacity to substitutes while continuing to buy NVIDIA. The 90-day scorecard therefore tracks workload-share objective estimates, capacity-share proxy, strategic CUDA cohort retention, substitute-capacity pipeline and concentration context.</w:t>
            </w:r>
          </w:p>
        </w:tc>
        <w:tc>
          <w:tcPr>
            <w:tcW w:type="dxa" w:w="3024"/>
            <w:tcMar>
              <w:top w:w="50" w:type="dxa"/>
              <w:start w:w="60" w:type="dxa"/>
              <w:bottom w:w="50" w:type="dxa"/>
              <w:end w:w="60" w:type="dxa"/>
            </w:tcMar>
            <w:vAlign w:val="center"/>
            <w:shd w:fill="F3F6FA"/>
          </w:tcPr>
          <w:p>
            <w:r>
              <w:rPr>
                <w:sz w:val="15"/>
              </w:rPr>
              <w:t>NVIDIA Q2 FY2027 Financial Results, Aug. 26, 2026; NVIDIA FY2026 Form 10-K, filed Feb. 25, 2026; NVIDIA Q1 FY2027 Financial Results, May 20, 2026; Google Cloud, May 18, 2016; Meta AI, May 18, 2023; Microsoft Source, Nov. 15, 2023; OpenAI, Oct. 13, 2025.</w:t>
            </w:r>
          </w:p>
        </w:tc>
      </w:tr>
    </w:tbl>
    <w:p>
      <w:pPr>
        <w:spacing w:before="160" w:after="60"/>
      </w:pPr>
      <w:r>
        <w:rPr>
          <w:rFonts w:ascii="Aptos Display" w:hAnsi="Aptos Display"/>
          <w:b/>
          <w:color w:val="244A70"/>
          <w:sz w:val="26"/>
        </w:rPr>
      </w:r>
      <w:r>
        <w:t>10. What Task 3 Does to the Team Thesis</w:t>
      </w:r>
    </w:p>
    <w:p>
      <w:pPr>
        <w:pStyle w:val="ListBullet"/>
        <w:spacing w:after="30" w:line="240" w:lineRule="auto"/>
        <w:ind w:left="259" w:hanging="144"/>
      </w:pPr>
      <w:r>
        <w:rPr>
          <w:rFonts w:ascii="Aptos" w:hAnsi="Aptos"/>
          <w:sz w:val="17"/>
        </w:rPr>
        <w:t>Supports Finding 1: the moat was built before the market, not for it. The roadmap sequence shows capability preceding commercial scale.</w:t>
      </w:r>
    </w:p>
    <w:p>
      <w:pPr>
        <w:pStyle w:val="ListBullet"/>
        <w:spacing w:after="30" w:line="240" w:lineRule="auto"/>
        <w:ind w:left="259" w:hanging="144"/>
      </w:pPr>
      <w:r>
        <w:rPr>
          <w:rFonts w:ascii="Aptos" w:hAnsi="Aptos"/>
          <w:sz w:val="17"/>
        </w:rPr>
        <w:t>Strengthens Finding 3: customer substitutes are not merely a competitive-risk paragraph; they are active capacity alternatives at Google, Meta, Microsoft and OpenAI/Broadcom.</w:t>
      </w:r>
    </w:p>
    <w:p>
      <w:pPr>
        <w:pStyle w:val="ListBullet"/>
        <w:spacing w:after="30" w:line="240" w:lineRule="auto"/>
        <w:ind w:left="259" w:hanging="144"/>
      </w:pPr>
      <w:r>
        <w:rPr>
          <w:rFonts w:ascii="Aptos" w:hAnsi="Aptos"/>
          <w:sz w:val="17"/>
        </w:rPr>
        <w:t>Closes the blind-spot link in the causal chain: strong current revenue can coexist with weakening future allocation share because revenue is realized after the capacity decision.</w:t>
      </w:r>
    </w:p>
    <w:p>
      <w:pPr>
        <w:pStyle w:val="ListBullet"/>
        <w:spacing w:after="30" w:line="240" w:lineRule="auto"/>
        <w:ind w:left="259" w:hanging="144"/>
      </w:pPr>
      <w:r>
        <w:rPr>
          <w:rFonts w:ascii="Aptos" w:hAnsi="Aptos"/>
          <w:sz w:val="17"/>
        </w:rPr>
      </w:r>
      <w:r>
        <w:t>Makes the 90-day recommendation measurable: management can establish a customer-level capacity-share proxy and Ecosystem Durability Scorecard while preserving CUDA share of new AI workloads as the strategic objective.</w:t>
      </w:r>
    </w:p>
    <w:p>
      <w:pPr>
        <w:spacing w:before="160" w:after="60"/>
      </w:pPr>
      <w:r>
        <w:rPr>
          <w:rFonts w:ascii="Aptos Display" w:hAnsi="Aptos Display"/>
          <w:b/>
          <w:color w:val="244A70"/>
          <w:sz w:val="26"/>
        </w:rPr>
      </w:r>
      <w:r>
        <w:t>11. Human Verification Checklist Before PR</w:t>
      </w:r>
    </w:p>
    <w:p>
      <w:pPr>
        <w:pStyle w:val="ListBullet"/>
        <w:spacing w:after="30" w:line="240" w:lineRule="auto"/>
        <w:ind w:left="259" w:hanging="144"/>
      </w:pPr>
      <w:r>
        <w:rPr>
          <w:rFonts w:ascii="Aptos" w:hAnsi="Aptos"/>
          <w:sz w:val="16"/>
        </w:rPr>
        <w:t>Open the NVIDIA CUDA Programming Guide and verify the November 2006 introduction date and wording.</w:t>
      </w:r>
    </w:p>
    <w:p>
      <w:pPr>
        <w:pStyle w:val="ListBullet"/>
        <w:spacing w:after="30" w:line="240" w:lineRule="auto"/>
        <w:ind w:left="259" w:hanging="144"/>
      </w:pPr>
      <w:r>
        <w:rPr>
          <w:rFonts w:ascii="Aptos" w:hAnsi="Aptos"/>
          <w:sz w:val="16"/>
        </w:rPr>
        <w:t>Open the Sept. 7, 2014 NVIDIA cuDNN blog and Apr. 5, 2016 DGX-1 release; verify exact titles and dates.</w:t>
      </w:r>
    </w:p>
    <w:p>
      <w:pPr>
        <w:pStyle w:val="ListBullet"/>
        <w:spacing w:after="30" w:line="240" w:lineRule="auto"/>
        <w:ind w:left="259" w:hanging="144"/>
      </w:pPr>
      <w:r>
        <w:rPr>
          <w:rFonts w:ascii="Aptos" w:hAnsi="Aptos"/>
          <w:sz w:val="16"/>
        </w:rPr>
        <w:t>Open the Apr. 27, 2020 Mellanox completion release and verify the $7B transaction value.</w:t>
      </w:r>
    </w:p>
    <w:p>
      <w:pPr>
        <w:pStyle w:val="ListBullet"/>
        <w:spacing w:after="30" w:line="240" w:lineRule="auto"/>
        <w:ind w:left="259" w:hanging="144"/>
      </w:pPr>
      <w:r>
        <w:rPr>
          <w:rFonts w:ascii="Aptos" w:hAnsi="Aptos"/>
          <w:sz w:val="16"/>
        </w:rPr>
        <w:t>Open NVIDIA FY2026 Form 10-K and verify Data Center revenue $193.737B, total revenue $215.938B, direct-customer concentration 22% + 14%, and page 78 for the concentration/revenue table.</w:t>
      </w:r>
    </w:p>
    <w:p>
      <w:pPr>
        <w:pStyle w:val="ListBullet"/>
        <w:spacing w:after="30" w:line="240" w:lineRule="auto"/>
        <w:ind w:left="259" w:hanging="144"/>
      </w:pPr>
      <w:r>
        <w:rPr>
          <w:rFonts w:ascii="Aptos" w:hAnsi="Aptos"/>
          <w:sz w:val="16"/>
        </w:rPr>
        <w:t>Open the May 12, 2026 NVIDIA Proxy Statement and verify the “Role of the Board in Risk Oversight” section on page 27.</w:t>
      </w:r>
    </w:p>
    <w:p>
      <w:pPr>
        <w:pStyle w:val="ListBullet"/>
        <w:spacing w:after="30" w:line="240" w:lineRule="auto"/>
        <w:ind w:left="259" w:hanging="144"/>
      </w:pPr>
      <w:r>
        <w:rPr>
          <w:rFonts w:ascii="Aptos" w:hAnsi="Aptos"/>
          <w:sz w:val="16"/>
        </w:rPr>
        <w:t>Open Q1 FY2027 Financial Results and verify the new Data Center / Edge Computing reporting framework plus Hyperscale and ACIE definitions.</w:t>
      </w:r>
    </w:p>
    <w:p>
      <w:pPr>
        <w:pStyle w:val="ListBullet"/>
        <w:spacing w:after="30" w:line="240" w:lineRule="auto"/>
        <w:ind w:left="259" w:hanging="144"/>
      </w:pPr>
      <w:r>
        <w:rPr>
          <w:rFonts w:ascii="Aptos" w:hAnsi="Aptos"/>
          <w:sz w:val="16"/>
        </w:rPr>
        <w:t>Open Q2 FY2027 Financial Results and verify $96.2B total revenue, $89.0B Data Center revenue and 75.0% gross margin.</w:t>
      </w:r>
    </w:p>
    <w:p>
      <w:pPr>
        <w:pStyle w:val="ListBullet"/>
        <w:spacing w:after="30" w:line="240" w:lineRule="auto"/>
        <w:ind w:left="259" w:hanging="144"/>
      </w:pPr>
      <w:r>
        <w:rPr>
          <w:rFonts w:ascii="Aptos" w:hAnsi="Aptos"/>
          <w:sz w:val="16"/>
        </w:rPr>
        <w:t>Open the primary Google TPU, Meta MTIA, Microsoft Maia and OpenAI/Broadcom announcements. Do not infer that any one announced substitute equals immediate NVIDIA revenue loss.</w:t>
      </w:r>
    </w:p>
    <w:p>
      <w:pPr>
        <w:pStyle w:val="ListBullet"/>
        <w:spacing w:after="30" w:line="240" w:lineRule="auto"/>
        <w:ind w:left="259" w:hanging="144"/>
      </w:pPr>
      <w:r>
        <w:rPr>
          <w:rFonts w:ascii="Aptos" w:hAnsi="Aptos"/>
          <w:sz w:val="16"/>
        </w:rPr>
      </w:r>
      <w:r>
        <w:t>Keep CUDA share of new AI workloads labeled as the strategic objective and newly committed accelerator capacity share labeled as the measurable proxy. They are related, but they are not the same metric.</w:t>
      </w:r>
    </w:p>
    <w:p>
      <w:pPr>
        <w:pStyle w:val="ListBullet"/>
        <w:spacing w:after="30" w:line="240" w:lineRule="auto"/>
        <w:ind w:left="259" w:hanging="144"/>
      </w:pPr>
      <w:r>
        <w:rPr>
          <w:rFonts w:ascii="Aptos" w:hAnsi="Aptos"/>
          <w:sz w:val="16"/>
        </w:rPr>
        <w:t>Keep the anonymous 22% and 14% direct customers unnamed; NVIDIA does not identify them in the 10-K.</w:t>
      </w:r>
    </w:p>
    <w:p>
      <w:pPr>
        <w:spacing w:before="160" w:after="60"/>
      </w:pPr>
      <w:r>
        <w:rPr>
          <w:rFonts w:ascii="Aptos Display" w:hAnsi="Aptos Display"/>
          <w:b/>
          <w:color w:val="244A70"/>
          <w:sz w:val="26"/>
        </w:rPr>
      </w:r>
      <w:r>
        <w:t>12. Source Register</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5472"/>
            <w:shd w:fill="17365D"/>
            <w:vAlign w:val="center"/>
            <w:tcMar>
              <w:top w:w="50" w:type="dxa"/>
              <w:start w:w="60" w:type="dxa"/>
              <w:bottom w:w="50" w:type="dxa"/>
              <w:end w:w="60" w:type="dxa"/>
            </w:tcMar>
          </w:tcPr>
          <w:p>
            <w:r>
              <w:rPr>
                <w:sz w:val="15"/>
              </w:rPr>
              <w:t>Document</w:t>
            </w:r>
          </w:p>
        </w:tc>
        <w:tc>
          <w:tcPr>
            <w:tcW w:type="dxa" w:w="1944"/>
            <w:shd w:fill="17365D"/>
            <w:vAlign w:val="center"/>
            <w:tcMar>
              <w:top w:w="50" w:type="dxa"/>
              <w:start w:w="60" w:type="dxa"/>
              <w:bottom w:w="50" w:type="dxa"/>
              <w:end w:w="60" w:type="dxa"/>
            </w:tcMar>
          </w:tcPr>
          <w:p>
            <w:r>
              <w:rPr>
                <w:sz w:val="15"/>
              </w:rPr>
              <w:t>Date</w:t>
            </w:r>
          </w:p>
        </w:tc>
        <w:tc>
          <w:tcPr>
            <w:tcW w:type="dxa" w:w="3888"/>
            <w:shd w:fill="17365D"/>
            <w:vAlign w:val="center"/>
            <w:tcMar>
              <w:top w:w="50" w:type="dxa"/>
              <w:start w:w="60" w:type="dxa"/>
              <w:bottom w:w="50" w:type="dxa"/>
              <w:end w:w="60" w:type="dxa"/>
            </w:tcMar>
          </w:tcPr>
          <w:p>
            <w:r>
              <w:rPr>
                <w:sz w:val="15"/>
              </w:rPr>
              <w:t>Use</w:t>
            </w:r>
          </w:p>
        </w:tc>
      </w:tr>
      <w:tr>
        <w:tc>
          <w:tcPr>
            <w:tcW w:type="dxa" w:w="5472"/>
            <w:tcMar>
              <w:top w:w="50" w:type="dxa"/>
              <w:start w:w="60" w:type="dxa"/>
              <w:bottom w:w="50" w:type="dxa"/>
              <w:end w:w="60" w:type="dxa"/>
            </w:tcMar>
            <w:vAlign w:val="center"/>
          </w:tcPr>
          <w:p>
            <w:r>
              <w:rPr>
                <w:sz w:val="15"/>
              </w:rPr>
              <w:t>NVIDIA CUDA C++ Programming Guide</w:t>
            </w:r>
          </w:p>
        </w:tc>
        <w:tc>
          <w:tcPr>
            <w:tcW w:type="dxa" w:w="1944"/>
            <w:tcMar>
              <w:top w:w="50" w:type="dxa"/>
              <w:start w:w="60" w:type="dxa"/>
              <w:bottom w:w="50" w:type="dxa"/>
              <w:end w:w="60" w:type="dxa"/>
            </w:tcMar>
            <w:vAlign w:val="center"/>
          </w:tcPr>
          <w:p>
            <w:r>
              <w:rPr>
                <w:sz w:val="15"/>
              </w:rPr>
              <w:t>Current documentation; historical statement: CUDA introduced Nov. 2006</w:t>
            </w:r>
          </w:p>
        </w:tc>
        <w:tc>
          <w:tcPr>
            <w:tcW w:type="dxa" w:w="3888"/>
            <w:tcMar>
              <w:top w:w="50" w:type="dxa"/>
              <w:start w:w="60" w:type="dxa"/>
              <w:bottom w:w="50" w:type="dxa"/>
              <w:end w:w="60" w:type="dxa"/>
            </w:tcMar>
            <w:vAlign w:val="center"/>
          </w:tcPr>
          <w:p>
            <w:r>
              <w:rPr>
                <w:sz w:val="15"/>
              </w:rPr>
              <w:t>Roadmap foundation</w:t>
            </w:r>
          </w:p>
        </w:tc>
      </w:tr>
      <w:tr>
        <w:tc>
          <w:tcPr>
            <w:tcW w:type="dxa" w:w="5472"/>
            <w:tcMar>
              <w:top w:w="50" w:type="dxa"/>
              <w:start w:w="60" w:type="dxa"/>
              <w:bottom w:w="50" w:type="dxa"/>
              <w:end w:w="60" w:type="dxa"/>
            </w:tcMar>
            <w:vAlign w:val="center"/>
            <w:shd w:fill="F3F6FA"/>
          </w:tcPr>
          <w:p>
            <w:r>
              <w:rPr>
                <w:sz w:val="15"/>
              </w:rPr>
              <w:t>NVIDIA Technical Blog — “Accelerate Machine Learning with the cuDNN Deep Neural Network Library”</w:t>
            </w:r>
          </w:p>
        </w:tc>
        <w:tc>
          <w:tcPr>
            <w:tcW w:type="dxa" w:w="1944"/>
            <w:tcMar>
              <w:top w:w="50" w:type="dxa"/>
              <w:start w:w="60" w:type="dxa"/>
              <w:bottom w:w="50" w:type="dxa"/>
              <w:end w:w="60" w:type="dxa"/>
            </w:tcMar>
            <w:vAlign w:val="center"/>
            <w:shd w:fill="F3F6FA"/>
          </w:tcPr>
          <w:p>
            <w:r>
              <w:rPr>
                <w:sz w:val="15"/>
              </w:rPr>
              <w:t>Sept. 7, 2014</w:t>
            </w:r>
          </w:p>
        </w:tc>
        <w:tc>
          <w:tcPr>
            <w:tcW w:type="dxa" w:w="3888"/>
            <w:tcMar>
              <w:top w:w="50" w:type="dxa"/>
              <w:start w:w="60" w:type="dxa"/>
              <w:bottom w:w="50" w:type="dxa"/>
              <w:end w:w="60" w:type="dxa"/>
            </w:tcMar>
            <w:vAlign w:val="center"/>
            <w:shd w:fill="F3F6FA"/>
          </w:tcPr>
          <w:p>
            <w:r>
              <w:rPr>
                <w:sz w:val="15"/>
              </w:rPr>
              <w:t>Deep-learning software layer</w:t>
            </w:r>
          </w:p>
        </w:tc>
      </w:tr>
      <w:tr>
        <w:tc>
          <w:tcPr>
            <w:tcW w:type="dxa" w:w="5472"/>
            <w:tcMar>
              <w:top w:w="50" w:type="dxa"/>
              <w:start w:w="60" w:type="dxa"/>
              <w:bottom w:w="50" w:type="dxa"/>
              <w:end w:w="60" w:type="dxa"/>
            </w:tcMar>
            <w:vAlign w:val="center"/>
          </w:tcPr>
          <w:p>
            <w:r>
              <w:rPr>
                <w:sz w:val="15"/>
              </w:rPr>
              <w:t>NVIDIA — “NVIDIA Launches World’s First Deep Learning Supercomputer”</w:t>
            </w:r>
          </w:p>
        </w:tc>
        <w:tc>
          <w:tcPr>
            <w:tcW w:type="dxa" w:w="1944"/>
            <w:tcMar>
              <w:top w:w="50" w:type="dxa"/>
              <w:start w:w="60" w:type="dxa"/>
              <w:bottom w:w="50" w:type="dxa"/>
              <w:end w:w="60" w:type="dxa"/>
            </w:tcMar>
            <w:vAlign w:val="center"/>
          </w:tcPr>
          <w:p>
            <w:r>
              <w:rPr>
                <w:sz w:val="15"/>
              </w:rPr>
              <w:t>Apr. 5, 2016</w:t>
            </w:r>
          </w:p>
        </w:tc>
        <w:tc>
          <w:tcPr>
            <w:tcW w:type="dxa" w:w="3888"/>
            <w:tcMar>
              <w:top w:w="50" w:type="dxa"/>
              <w:start w:w="60" w:type="dxa"/>
              <w:bottom w:w="50" w:type="dxa"/>
              <w:end w:w="60" w:type="dxa"/>
            </w:tcMar>
            <w:vAlign w:val="center"/>
          </w:tcPr>
          <w:p>
            <w:r>
              <w:rPr>
                <w:sz w:val="15"/>
              </w:rPr>
              <w:t>DGX-1 integrated system</w:t>
            </w:r>
          </w:p>
        </w:tc>
      </w:tr>
      <w:tr>
        <w:tc>
          <w:tcPr>
            <w:tcW w:type="dxa" w:w="5472"/>
            <w:tcMar>
              <w:top w:w="50" w:type="dxa"/>
              <w:start w:w="60" w:type="dxa"/>
              <w:bottom w:w="50" w:type="dxa"/>
              <w:end w:w="60" w:type="dxa"/>
            </w:tcMar>
            <w:vAlign w:val="center"/>
            <w:shd w:fill="F3F6FA"/>
          </w:tcPr>
          <w:p>
            <w:r>
              <w:rPr>
                <w:sz w:val="15"/>
              </w:rPr>
              <w:t>NVIDIA — “NVIDIA Completes Acquisition of Mellanox…”</w:t>
            </w:r>
          </w:p>
        </w:tc>
        <w:tc>
          <w:tcPr>
            <w:tcW w:type="dxa" w:w="1944"/>
            <w:tcMar>
              <w:top w:w="50" w:type="dxa"/>
              <w:start w:w="60" w:type="dxa"/>
              <w:bottom w:w="50" w:type="dxa"/>
              <w:end w:w="60" w:type="dxa"/>
            </w:tcMar>
            <w:vAlign w:val="center"/>
            <w:shd w:fill="F3F6FA"/>
          </w:tcPr>
          <w:p>
            <w:r>
              <w:rPr>
                <w:sz w:val="15"/>
              </w:rPr>
              <w:t>Apr. 27, 2020</w:t>
            </w:r>
          </w:p>
        </w:tc>
        <w:tc>
          <w:tcPr>
            <w:tcW w:type="dxa" w:w="3888"/>
            <w:tcMar>
              <w:top w:w="50" w:type="dxa"/>
              <w:start w:w="60" w:type="dxa"/>
              <w:bottom w:w="50" w:type="dxa"/>
              <w:end w:w="60" w:type="dxa"/>
            </w:tcMar>
            <w:vAlign w:val="center"/>
            <w:shd w:fill="F3F6FA"/>
          </w:tcPr>
          <w:p>
            <w:r>
              <w:rPr>
                <w:sz w:val="15"/>
              </w:rPr>
              <w:t>$7B networking integration</w:t>
            </w:r>
          </w:p>
        </w:tc>
      </w:tr>
      <w:tr>
        <w:tc>
          <w:tcPr>
            <w:tcW w:type="dxa" w:w="5472"/>
            <w:tcMar>
              <w:top w:w="50" w:type="dxa"/>
              <w:start w:w="60" w:type="dxa"/>
              <w:bottom w:w="50" w:type="dxa"/>
              <w:end w:w="60" w:type="dxa"/>
            </w:tcMar>
            <w:vAlign w:val="center"/>
          </w:tcPr>
          <w:p>
            <w:r>
              <w:rPr>
                <w:sz w:val="15"/>
              </w:rPr>
              <w:t>NVIDIA — “NVIDIA Announces Hopper Architecture, the Next Generation of Accelerated Computing”</w:t>
            </w:r>
          </w:p>
        </w:tc>
        <w:tc>
          <w:tcPr>
            <w:tcW w:type="dxa" w:w="1944"/>
            <w:tcMar>
              <w:top w:w="50" w:type="dxa"/>
              <w:start w:w="60" w:type="dxa"/>
              <w:bottom w:w="50" w:type="dxa"/>
              <w:end w:w="60" w:type="dxa"/>
            </w:tcMar>
            <w:vAlign w:val="center"/>
          </w:tcPr>
          <w:p>
            <w:r>
              <w:rPr>
                <w:sz w:val="15"/>
              </w:rPr>
              <w:t>Mar. 22, 2022</w:t>
            </w:r>
          </w:p>
        </w:tc>
        <w:tc>
          <w:tcPr>
            <w:tcW w:type="dxa" w:w="3888"/>
            <w:tcMar>
              <w:top w:w="50" w:type="dxa"/>
              <w:start w:w="60" w:type="dxa"/>
              <w:bottom w:w="50" w:type="dxa"/>
              <w:end w:w="60" w:type="dxa"/>
            </w:tcMar>
            <w:vAlign w:val="center"/>
          </w:tcPr>
          <w:p>
            <w:r>
              <w:rPr>
                <w:sz w:val="15"/>
              </w:rPr>
              <w:t>Hopper/H100; transformer-era platform scale</w:t>
            </w:r>
          </w:p>
        </w:tc>
      </w:tr>
      <w:tr>
        <w:tc>
          <w:tcPr>
            <w:tcW w:type="dxa" w:w="5472"/>
            <w:tcMar>
              <w:top w:w="50" w:type="dxa"/>
              <w:start w:w="60" w:type="dxa"/>
              <w:bottom w:w="50" w:type="dxa"/>
              <w:end w:w="60" w:type="dxa"/>
            </w:tcMar>
            <w:vAlign w:val="center"/>
            <w:shd w:fill="F3F6FA"/>
          </w:tcPr>
          <w:p>
            <w:r>
              <w:rPr>
                <w:sz w:val="15"/>
              </w:rPr>
              <w:t>NVIDIA — “NVIDIA Blackwell Platform Arrives to Power a New Era of Computing”</w:t>
            </w:r>
          </w:p>
        </w:tc>
        <w:tc>
          <w:tcPr>
            <w:tcW w:type="dxa" w:w="1944"/>
            <w:tcMar>
              <w:top w:w="50" w:type="dxa"/>
              <w:start w:w="60" w:type="dxa"/>
              <w:bottom w:w="50" w:type="dxa"/>
              <w:end w:w="60" w:type="dxa"/>
            </w:tcMar>
            <w:vAlign w:val="center"/>
            <w:shd w:fill="F3F6FA"/>
          </w:tcPr>
          <w:p>
            <w:r>
              <w:rPr>
                <w:sz w:val="15"/>
              </w:rPr>
              <w:t>Mar. 18, 2024</w:t>
            </w:r>
          </w:p>
        </w:tc>
        <w:tc>
          <w:tcPr>
            <w:tcW w:type="dxa" w:w="3888"/>
            <w:tcMar>
              <w:top w:w="50" w:type="dxa"/>
              <w:start w:w="60" w:type="dxa"/>
              <w:bottom w:w="50" w:type="dxa"/>
              <w:end w:w="60" w:type="dxa"/>
            </w:tcMar>
            <w:vAlign w:val="center"/>
            <w:shd w:fill="F3F6FA"/>
          </w:tcPr>
          <w:p>
            <w:r>
              <w:rPr>
                <w:sz w:val="15"/>
              </w:rPr>
              <w:t>Blackwell; generative-AI platform generation</w:t>
            </w:r>
          </w:p>
        </w:tc>
      </w:tr>
      <w:tr>
        <w:tc>
          <w:tcPr>
            <w:tcW w:type="dxa" w:w="5472"/>
            <w:tcMar>
              <w:top w:w="50" w:type="dxa"/>
              <w:start w:w="60" w:type="dxa"/>
              <w:bottom w:w="50" w:type="dxa"/>
              <w:end w:w="60" w:type="dxa"/>
            </w:tcMar>
            <w:vAlign w:val="center"/>
          </w:tcPr>
          <w:p>
            <w:r>
              <w:rPr>
                <w:sz w:val="15"/>
              </w:rPr>
              <w:t>NVIDIA FY2026 Form 10-K</w:t>
            </w:r>
          </w:p>
        </w:tc>
        <w:tc>
          <w:tcPr>
            <w:tcW w:type="dxa" w:w="1944"/>
            <w:tcMar>
              <w:top w:w="50" w:type="dxa"/>
              <w:start w:w="60" w:type="dxa"/>
              <w:bottom w:w="50" w:type="dxa"/>
              <w:end w:w="60" w:type="dxa"/>
            </w:tcMar>
            <w:vAlign w:val="center"/>
          </w:tcPr>
          <w:p>
            <w:r>
              <w:rPr>
                <w:sz w:val="15"/>
              </w:rPr>
              <w:t>Filed Feb. 25, 2026</w:t>
            </w:r>
          </w:p>
        </w:tc>
        <w:tc>
          <w:tcPr>
            <w:tcW w:type="dxa" w:w="3888"/>
            <w:tcMar>
              <w:top w:w="50" w:type="dxa"/>
              <w:start w:w="60" w:type="dxa"/>
              <w:bottom w:w="50" w:type="dxa"/>
              <w:end w:w="60" w:type="dxa"/>
            </w:tcMar>
            <w:vAlign w:val="center"/>
          </w:tcPr>
          <w:p>
            <w:r>
              <w:rPr>
                <w:sz w:val="15"/>
              </w:rPr>
              <w:t>Data Center revenue, customer concentration, developer ecosystem</w:t>
            </w:r>
          </w:p>
        </w:tc>
      </w:tr>
      <w:tr>
        <w:tc>
          <w:tcPr>
            <w:tcW w:type="dxa" w:w="5472"/>
            <w:tcMar>
              <w:top w:w="50" w:type="dxa"/>
              <w:start w:w="60" w:type="dxa"/>
              <w:bottom w:w="50" w:type="dxa"/>
              <w:end w:w="60" w:type="dxa"/>
            </w:tcMar>
            <w:vAlign w:val="center"/>
            <w:shd w:fill="F3F6FA"/>
          </w:tcPr>
          <w:p>
            <w:r>
              <w:rPr>
                <w:sz w:val="15"/>
              </w:rPr>
              <w:t>NVIDIA 2026 Proxy Statement</w:t>
            </w:r>
          </w:p>
        </w:tc>
        <w:tc>
          <w:tcPr>
            <w:tcW w:type="dxa" w:w="1944"/>
            <w:tcMar>
              <w:top w:w="50" w:type="dxa"/>
              <w:start w:w="60" w:type="dxa"/>
              <w:bottom w:w="50" w:type="dxa"/>
              <w:end w:w="60" w:type="dxa"/>
            </w:tcMar>
            <w:vAlign w:val="center"/>
            <w:shd w:fill="F3F6FA"/>
          </w:tcPr>
          <w:p>
            <w:r>
              <w:rPr>
                <w:sz w:val="15"/>
              </w:rPr>
              <w:t>Filed May 12, 2026</w:t>
            </w:r>
          </w:p>
        </w:tc>
        <w:tc>
          <w:tcPr>
            <w:tcW w:type="dxa" w:w="3888"/>
            <w:tcMar>
              <w:top w:w="50" w:type="dxa"/>
              <w:start w:w="60" w:type="dxa"/>
              <w:bottom w:w="50" w:type="dxa"/>
              <w:end w:w="60" w:type="dxa"/>
            </w:tcMar>
            <w:vAlign w:val="center"/>
            <w:shd w:fill="F3F6FA"/>
          </w:tcPr>
          <w:p>
            <w:r>
              <w:rPr>
                <w:sz w:val="15"/>
              </w:rPr>
              <w:t>Board-level strategic-risk oversight; detailed execution governance not publicly established</w:t>
            </w:r>
          </w:p>
        </w:tc>
      </w:tr>
      <w:tr>
        <w:tc>
          <w:tcPr>
            <w:tcW w:type="dxa" w:w="5472"/>
            <w:tcMar>
              <w:top w:w="50" w:type="dxa"/>
              <w:start w:w="60" w:type="dxa"/>
              <w:bottom w:w="50" w:type="dxa"/>
              <w:end w:w="60" w:type="dxa"/>
            </w:tcMar>
            <w:vAlign w:val="center"/>
          </w:tcPr>
          <w:p>
            <w:r>
              <w:rPr>
                <w:sz w:val="15"/>
              </w:rPr>
              <w:t>NVIDIA Q1 FY2027 Financial Results</w:t>
            </w:r>
          </w:p>
        </w:tc>
        <w:tc>
          <w:tcPr>
            <w:tcW w:type="dxa" w:w="1944"/>
            <w:tcMar>
              <w:top w:w="50" w:type="dxa"/>
              <w:start w:w="60" w:type="dxa"/>
              <w:bottom w:w="50" w:type="dxa"/>
              <w:end w:w="60" w:type="dxa"/>
            </w:tcMar>
            <w:vAlign w:val="center"/>
          </w:tcPr>
          <w:p>
            <w:r>
              <w:rPr>
                <w:sz w:val="15"/>
              </w:rPr>
              <w:t>May 20, 2026</w:t>
            </w:r>
          </w:p>
        </w:tc>
        <w:tc>
          <w:tcPr>
            <w:tcW w:type="dxa" w:w="3888"/>
            <w:tcMar>
              <w:top w:w="50" w:type="dxa"/>
              <w:start w:w="60" w:type="dxa"/>
              <w:bottom w:w="50" w:type="dxa"/>
              <w:end w:w="60" w:type="dxa"/>
            </w:tcMar>
            <w:vAlign w:val="center"/>
          </w:tcPr>
          <w:p>
            <w:r>
              <w:rPr>
                <w:sz w:val="15"/>
              </w:rPr>
              <w:t>Data Center / Edge reporting framework; Hyperscale and ACIE context</w:t>
            </w:r>
          </w:p>
        </w:tc>
      </w:tr>
      <w:tr>
        <w:tc>
          <w:tcPr>
            <w:tcW w:type="dxa" w:w="5472"/>
            <w:tcMar>
              <w:top w:w="50" w:type="dxa"/>
              <w:start w:w="60" w:type="dxa"/>
              <w:bottom w:w="50" w:type="dxa"/>
              <w:end w:w="60" w:type="dxa"/>
            </w:tcMar>
            <w:vAlign w:val="center"/>
            <w:shd w:fill="F3F6FA"/>
          </w:tcPr>
          <w:p>
            <w:r>
              <w:rPr>
                <w:sz w:val="15"/>
              </w:rPr>
              <w:t>NVIDIA Q2 FY2027 Financial Results</w:t>
            </w:r>
          </w:p>
        </w:tc>
        <w:tc>
          <w:tcPr>
            <w:tcW w:type="dxa" w:w="1944"/>
            <w:tcMar>
              <w:top w:w="50" w:type="dxa"/>
              <w:start w:w="60" w:type="dxa"/>
              <w:bottom w:w="50" w:type="dxa"/>
              <w:end w:w="60" w:type="dxa"/>
            </w:tcMar>
            <w:vAlign w:val="center"/>
            <w:shd w:fill="F3F6FA"/>
          </w:tcPr>
          <w:p>
            <w:r>
              <w:rPr>
                <w:sz w:val="15"/>
              </w:rPr>
              <w:t>Aug. 26, 2026</w:t>
            </w:r>
          </w:p>
        </w:tc>
        <w:tc>
          <w:tcPr>
            <w:tcW w:type="dxa" w:w="3888"/>
            <w:tcMar>
              <w:top w:w="50" w:type="dxa"/>
              <w:start w:w="60" w:type="dxa"/>
              <w:bottom w:w="50" w:type="dxa"/>
              <w:end w:w="60" w:type="dxa"/>
            </w:tcMar>
            <w:vAlign w:val="center"/>
            <w:shd w:fill="F3F6FA"/>
          </w:tcPr>
          <w:p>
            <w:r>
              <w:rPr>
                <w:sz w:val="15"/>
              </w:rPr>
              <w:t>$96.2B revenue; $89.0B Data Center; 75.0% gross margin</w:t>
            </w:r>
          </w:p>
        </w:tc>
      </w:tr>
      <w:tr>
        <w:tc>
          <w:tcPr>
            <w:tcW w:type="dxa" w:w="5472"/>
            <w:tcMar>
              <w:top w:w="50" w:type="dxa"/>
              <w:start w:w="60" w:type="dxa"/>
              <w:bottom w:w="50" w:type="dxa"/>
              <w:end w:w="60" w:type="dxa"/>
            </w:tcMar>
            <w:vAlign w:val="center"/>
          </w:tcPr>
          <w:p>
            <w:r>
              <w:rPr>
                <w:sz w:val="15"/>
              </w:rPr>
              <w:t>Google Cloud — “Google supercharges machine learning tasks with TPU custom chip”</w:t>
            </w:r>
          </w:p>
        </w:tc>
        <w:tc>
          <w:tcPr>
            <w:tcW w:type="dxa" w:w="1944"/>
            <w:tcMar>
              <w:top w:w="50" w:type="dxa"/>
              <w:start w:w="60" w:type="dxa"/>
              <w:bottom w:w="50" w:type="dxa"/>
              <w:end w:w="60" w:type="dxa"/>
            </w:tcMar>
            <w:vAlign w:val="center"/>
          </w:tcPr>
          <w:p>
            <w:r>
              <w:rPr>
                <w:sz w:val="15"/>
              </w:rPr>
              <w:t>May 18, 2016</w:t>
            </w:r>
          </w:p>
        </w:tc>
        <w:tc>
          <w:tcPr>
            <w:tcW w:type="dxa" w:w="3888"/>
            <w:tcMar>
              <w:top w:w="50" w:type="dxa"/>
              <w:start w:w="60" w:type="dxa"/>
              <w:bottom w:w="50" w:type="dxa"/>
              <w:end w:w="60" w:type="dxa"/>
            </w:tcMar>
            <w:vAlign w:val="center"/>
          </w:tcPr>
          <w:p>
            <w:r>
              <w:rPr>
                <w:sz w:val="15"/>
              </w:rPr>
              <w:t>Custom TPU substitute evidence</w:t>
            </w:r>
          </w:p>
        </w:tc>
      </w:tr>
      <w:tr>
        <w:tc>
          <w:tcPr>
            <w:tcW w:type="dxa" w:w="5472"/>
            <w:tcMar>
              <w:top w:w="50" w:type="dxa"/>
              <w:start w:w="60" w:type="dxa"/>
              <w:bottom w:w="50" w:type="dxa"/>
              <w:end w:w="60" w:type="dxa"/>
            </w:tcMar>
            <w:vAlign w:val="center"/>
            <w:shd w:fill="F3F6FA"/>
          </w:tcPr>
          <w:p>
            <w:r>
              <w:rPr>
                <w:sz w:val="15"/>
              </w:rPr>
              <w:t>Meta AI — “MTIA v1: Meta’s first-generation AI inference accelerator”</w:t>
            </w:r>
          </w:p>
        </w:tc>
        <w:tc>
          <w:tcPr>
            <w:tcW w:type="dxa" w:w="1944"/>
            <w:tcMar>
              <w:top w:w="50" w:type="dxa"/>
              <w:start w:w="60" w:type="dxa"/>
              <w:bottom w:w="50" w:type="dxa"/>
              <w:end w:w="60" w:type="dxa"/>
            </w:tcMar>
            <w:vAlign w:val="center"/>
            <w:shd w:fill="F3F6FA"/>
          </w:tcPr>
          <w:p>
            <w:r>
              <w:rPr>
                <w:sz w:val="15"/>
              </w:rPr>
              <w:t>May 18, 2023</w:t>
            </w:r>
          </w:p>
        </w:tc>
        <w:tc>
          <w:tcPr>
            <w:tcW w:type="dxa" w:w="3888"/>
            <w:tcMar>
              <w:top w:w="50" w:type="dxa"/>
              <w:start w:w="60" w:type="dxa"/>
              <w:bottom w:w="50" w:type="dxa"/>
              <w:end w:w="60" w:type="dxa"/>
            </w:tcMar>
            <w:vAlign w:val="center"/>
            <w:shd w:fill="F3F6FA"/>
          </w:tcPr>
          <w:p>
            <w:r>
              <w:rPr>
                <w:sz w:val="15"/>
              </w:rPr>
              <w:t>MTIA custom accelerator evidence</w:t>
            </w:r>
          </w:p>
        </w:tc>
      </w:tr>
      <w:tr>
        <w:tc>
          <w:tcPr>
            <w:tcW w:type="dxa" w:w="5472"/>
            <w:tcMar>
              <w:top w:w="50" w:type="dxa"/>
              <w:start w:w="60" w:type="dxa"/>
              <w:bottom w:w="50" w:type="dxa"/>
              <w:end w:w="60" w:type="dxa"/>
            </w:tcMar>
            <w:vAlign w:val="center"/>
          </w:tcPr>
          <w:p>
            <w:r>
              <w:rPr>
                <w:sz w:val="15"/>
              </w:rPr>
              <w:t>Microsoft Source — “With a systems approach to chips…”</w:t>
            </w:r>
          </w:p>
        </w:tc>
        <w:tc>
          <w:tcPr>
            <w:tcW w:type="dxa" w:w="1944"/>
            <w:tcMar>
              <w:top w:w="50" w:type="dxa"/>
              <w:start w:w="60" w:type="dxa"/>
              <w:bottom w:w="50" w:type="dxa"/>
              <w:end w:w="60" w:type="dxa"/>
            </w:tcMar>
            <w:vAlign w:val="center"/>
          </w:tcPr>
          <w:p>
            <w:r>
              <w:rPr>
                <w:sz w:val="15"/>
              </w:rPr>
              <w:t>Nov. 15, 2023</w:t>
            </w:r>
          </w:p>
        </w:tc>
        <w:tc>
          <w:tcPr>
            <w:tcW w:type="dxa" w:w="3888"/>
            <w:tcMar>
              <w:top w:w="50" w:type="dxa"/>
              <w:start w:w="60" w:type="dxa"/>
              <w:bottom w:w="50" w:type="dxa"/>
              <w:end w:w="60" w:type="dxa"/>
            </w:tcMar>
            <w:vAlign w:val="center"/>
          </w:tcPr>
          <w:p>
            <w:r>
              <w:rPr>
                <w:sz w:val="15"/>
              </w:rPr>
              <w:t>Azure Maia AI Accelerator evidence</w:t>
            </w:r>
          </w:p>
        </w:tc>
      </w:tr>
      <w:tr>
        <w:tc>
          <w:tcPr>
            <w:tcW w:type="dxa" w:w="3552"/>
            <w:vAlign w:val="center"/>
          </w:tcPr>
          <w:p>
            <w:r>
              <w:rPr>
                <w:sz w:val="15"/>
              </w:rPr>
              <w:t>NVIDIA / OpenAI — 10 GW NVIDIA systems partnership</w:t>
            </w:r>
          </w:p>
        </w:tc>
        <w:tc>
          <w:tcPr>
            <w:tcW w:type="dxa" w:w="3552"/>
            <w:vAlign w:val="center"/>
          </w:tcPr>
          <w:p>
            <w:r>
              <w:rPr>
                <w:sz w:val="15"/>
              </w:rPr>
              <w:t>Sept. 22, 2025</w:t>
            </w:r>
          </w:p>
        </w:tc>
        <w:tc>
          <w:tcPr>
            <w:tcW w:type="dxa" w:w="3552"/>
            <w:vAlign w:val="center"/>
          </w:tcPr>
          <w:p>
            <w:r>
              <w:rPr>
                <w:sz w:val="15"/>
              </w:rPr>
              <w:t>Continued NVIDIA capacity commitment</w:t>
            </w:r>
          </w:p>
        </w:tc>
      </w:tr>
      <w:tr>
        <w:tc>
          <w:tcPr>
            <w:tcW w:type="dxa" w:w="3552"/>
            <w:vAlign w:val="center"/>
          </w:tcPr>
          <w:p>
            <w:r>
              <w:rPr>
                <w:sz w:val="15"/>
              </w:rPr>
              <w:t>OpenAI / Broadcom — 10 GW custom AI accelerator collaboration</w:t>
            </w:r>
          </w:p>
        </w:tc>
        <w:tc>
          <w:tcPr>
            <w:tcW w:type="dxa" w:w="3552"/>
            <w:vAlign w:val="center"/>
          </w:tcPr>
          <w:p>
            <w:r>
              <w:rPr>
                <w:sz w:val="15"/>
              </w:rPr>
              <w:t>Oct. 13, 2025</w:t>
            </w:r>
          </w:p>
        </w:tc>
        <w:tc>
          <w:tcPr>
            <w:tcW w:type="dxa" w:w="3552"/>
            <w:vAlign w:val="center"/>
          </w:tcPr>
          <w:p>
            <w:r>
              <w:rPr>
                <w:sz w:val="15"/>
              </w:rPr>
              <w:t>Concurrent substitute-capacity commitment</w:t>
            </w:r>
          </w:p>
        </w:tc>
      </w:tr>
    </w:tbl>
    <w:p>
      <w:pPr>
        <w:spacing w:before="120"/>
        <w:jc w:val="center"/>
      </w:pPr>
      <w:r>
        <w:rPr>
          <w:rFonts w:ascii="Aptos" w:hAnsi="Aptos"/>
          <w:b/>
          <w:color w:val="1F4E79"/>
          <w:sz w:val="16"/>
        </w:rPr>
      </w:r>
      <w:r>
        <w:t>STATUS: FRAMEWORKS 6–7 RESEARCH-COMPLETE · PRIMARY SOURCES CROSS-CHECKED · KPI OBJECTIVE/PROXY DISTINCTION LOCKED · READY FOR TEAM PR AFTER FINAL HUMAN SOURCE OPEN/CITATION CHECK</w:t>
      </w:r>
    </w:p>
    <w:sectPr w:rsidR="00FC693F" w:rsidRPr="0006063C" w:rsidSect="00034616">
      <w:footerReference w:type="default" r:id="rId9"/>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E6E6E"/>
        <w:sz w:val="14"/>
      </w:rPr>
      <w:t>NVIDIA Week 8 — Part 3 · Tiago Farinas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