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82324" w14:textId="77777777" w:rsidR="008C5297" w:rsidRDefault="008C5297">
      <w:r>
        <w:t>Multi-</w:t>
      </w:r>
      <w:proofErr w:type="spellStart"/>
      <w:r>
        <w:t>seq</w:t>
      </w:r>
      <w:proofErr w:type="spellEnd"/>
      <w:r>
        <w:t xml:space="preserve"> methods</w:t>
      </w:r>
    </w:p>
    <w:p w14:paraId="2988DBD8" w14:textId="77777777" w:rsidR="002D2BE5" w:rsidRDefault="002D2BE5"/>
    <w:p w14:paraId="39892F6F" w14:textId="1F85F422" w:rsidR="003C4C27" w:rsidRDefault="008C5297" w:rsidP="00894ACF">
      <w:pPr>
        <w:pStyle w:val="ListParagraph"/>
        <w:numPr>
          <w:ilvl w:val="0"/>
          <w:numId w:val="1"/>
        </w:numPr>
      </w:pPr>
      <w:r>
        <w:t>ESC maintenance</w:t>
      </w:r>
      <w:r w:rsidR="00894ACF">
        <w:t xml:space="preserve"> and differentiation </w:t>
      </w:r>
    </w:p>
    <w:p w14:paraId="36DF49F0" w14:textId="749FE908" w:rsidR="00894ACF" w:rsidRDefault="00B17D92" w:rsidP="00894ACF">
      <w:pPr>
        <w:pStyle w:val="ListParagraph"/>
        <w:numPr>
          <w:ilvl w:val="1"/>
          <w:numId w:val="1"/>
        </w:numPr>
      </w:pPr>
      <w:r>
        <w:t>GFP-</w:t>
      </w:r>
      <w:proofErr w:type="spellStart"/>
      <w:r>
        <w:t>Brychyury</w:t>
      </w:r>
      <w:proofErr w:type="spellEnd"/>
      <w:r w:rsidR="00823FDD">
        <w:t xml:space="preserve"> </w:t>
      </w:r>
      <w:proofErr w:type="spellStart"/>
      <w:r>
        <w:t>mESC</w:t>
      </w:r>
      <w:proofErr w:type="spellEnd"/>
      <w:r>
        <w:t xml:space="preserve"> </w:t>
      </w:r>
      <w:r w:rsidR="005B7918">
        <w:t>cells</w:t>
      </w:r>
      <w:r w:rsidR="00823FDD">
        <w:t xml:space="preserve"> </w:t>
      </w:r>
      <w:r w:rsidR="00823FDD">
        <w:fldChar w:fldCharType="begin"/>
      </w:r>
      <w:r w:rsidR="00733D2C">
        <w:instrText>ADDIN F1000_CSL_CITATION&lt;~#@#~&gt;[{"DOI":"10.1073/pnas.0603916103","First":false,"Last":false,"PMCID":"PMC1636536","PMID":"17077151","abstract":"The establishment of the primitive streak and its derivative germ layers, mesoderm and endoderm, are prerequisite steps in the formation of many tissues. To model these developmental stages in vitro, an ES cell line was established that expresses CD4 from the foxa2 locus in addition to GFP from the brachyury locus. A GFP-Bry(+) population expressing variable levels of CD4-Foxa2 developed upon differentiation of this ES cell line. Analysis of gene-expression patterns and developmental potential revealed that the CD4-Foxa2(hi)GFP-Bry(+) population displays characteristics of the anterior primitive streak, whereas the CD4-Foxa2(lo)GFP-Bry(+) cells resemble the posterior streak. Using this model, we were able to demonstrate that Wnt and TGF-beta/nodal/activin signaling simultaneously were required for the generation of the CD4-Foxa2(+)GFP-Bry(+) population. Wnt or low levels of activin-induced a posterior primitive streak population, whereas high levels of activin resulted in an anterior streak fate. Finally, sustained activin signaling was found to stimulate endoderm commitment from the CD4-Foxa2(+)GFP-Bry(+) ES cell population. These findings demonstrate that the early developmental events involved in germ-layer induction in the embryo are recapitulated in the ES cell model and uncover insights into the signaling pathways involved in the establishment of mesoderm and endoderm.","author":[{"family":"Gadue","given":"Paul"},{"family":"Huber","given":"Tara L"},{"family":"Paddison","given":"Patrick J"},{"family":"Keller","given":"Gordon M"}],"authorYearDisplayFormat":false,"citation-label":"4755986","container-title":"Proceedings of the National Academy of Sciences of the United States of America","container-title-short":"Proc Natl Acad Sci USA","id":"4755986","invisible":false,"issue":"45","issued":{"date-parts":[["2006","11","7"]]},"journalAbbreviation":"Proc Natl Acad Sci USA","page":"16806-16811","suppress-author":false,"title":"Wnt and TGF-beta signaling are required for the induction of an in vitro model of primitive streak formation using embryonic stem cells.","type":"article-journal","volume":"103"}]</w:instrText>
      </w:r>
      <w:r w:rsidR="00823FDD">
        <w:fldChar w:fldCharType="separate"/>
      </w:r>
      <w:r w:rsidR="00FB0F7D" w:rsidRPr="00FB0F7D">
        <w:rPr>
          <w:noProof/>
        </w:rPr>
        <w:t>(Gadue et al. 2006)</w:t>
      </w:r>
      <w:r w:rsidR="00823FDD">
        <w:fldChar w:fldCharType="end"/>
      </w:r>
      <w:r>
        <w:t xml:space="preserve"> w</w:t>
      </w:r>
      <w:r w:rsidR="005B7918">
        <w:t>ere</w:t>
      </w:r>
      <w:r>
        <w:t xml:space="preserve"> maintained </w:t>
      </w:r>
      <w:r w:rsidR="005B7918">
        <w:t>and differentiated through day 2</w:t>
      </w:r>
      <w:r w:rsidR="00656A45">
        <w:t xml:space="preserve"> of the directed differentiation protocol</w:t>
      </w:r>
      <w:r w:rsidR="005B7918">
        <w:t xml:space="preserve"> </w:t>
      </w:r>
      <w:r>
        <w:t xml:space="preserve">according </w:t>
      </w:r>
      <w:r w:rsidR="00976929">
        <w:t>to Spangler et al.</w:t>
      </w:r>
      <w:r w:rsidR="00FB0F7D">
        <w:t xml:space="preserve"> </w:t>
      </w:r>
      <w:r w:rsidR="00FB0F7D">
        <w:fldChar w:fldCharType="begin"/>
      </w:r>
      <w:r w:rsidR="00FB0F7D">
        <w:instrText>ADDIN F1000_CSL_CITATION&lt;~#@#~&gt;[{"DOI":"10.1016/j.scr.2018.07.022","First":false,"Last":false,"PMCID":"PMC6579609","PMID":"30118958","abstract":"Directed differentiation of pluripotent stem cells provides an accessible system to model development. However, the distinct cell types that emerge, their dynamics, and their relationship to progenitors in the early embryo has been difficult to decipher because of the cellular heterogeneity inherent to differentiation. Here, we used a combination of bulk RNA-Seq, single cell RNA-Seq, and bioinformatics analyses to dissect the cell types that emerge during directed differentiation of mouse embryonic stem cells as embryoid bodies and we compared them to spatially and temporally resolved transcriptional profiles of early embryos. Our single cell analyses of the day 4 embryoid bodies revealed three populations which had retained related yet distinct pluripotent signatures that resemble the pre- or post-implantation epiblast, one population of presumptive neuroectoderm, one population of mesendoderm, and four populations of neural progenitors. By day 6, the neural progenitors predominated the embryoid bodies, but both a small population of pluripotent-like cells and an anterior mesoderm-like Brachyury-expressing population were present. By comparing the day 4 and day 6 populations, we identified candidate differentiation paths, transcription factors, and signaling pathways that mark the in vitro correlate of the transition from the mid-to-late primitive streak stage.&lt;br&gt;&lt;br&gt;Copyright © 2018 The Authors. Published by Elsevier B.V. All rights reserved.","author":[{"family":"Spangler","given":"Abby"},{"family":"Su","given":"Emily Y"},{"family":"Craft","given":"April M"},{"family":"Cahan","given":"Patrick"}],"authorYearDisplayFormat":false,"citation-label":"6119687","container-title":"Stem Cell Research","container-title-short":"Stem Cell Res.","id":"6119687","invisible":false,"issued":{"date-parts":[["2018","7","29"]]},"journalAbbreviation":"Stem Cell Res.","page":"201-215","suppress-author":false,"title":"A single cell transcriptional portrait of embryoid body differentiation and comparison to progenitors of the developing embryo.","type":"article-journal","volume":"31"}]</w:instrText>
      </w:r>
      <w:r w:rsidR="00FB0F7D">
        <w:fldChar w:fldCharType="separate"/>
      </w:r>
      <w:r w:rsidR="00FB0F7D" w:rsidRPr="00FB0F7D">
        <w:rPr>
          <w:noProof/>
        </w:rPr>
        <w:t>(Spangler et al. 2018)</w:t>
      </w:r>
      <w:r w:rsidR="00FB0F7D">
        <w:fldChar w:fldCharType="end"/>
      </w:r>
      <w:r w:rsidR="00FB0F7D">
        <w:t xml:space="preserve">. </w:t>
      </w:r>
      <w:r w:rsidR="005B7918">
        <w:t>At day 2, four different primitive-streak induction treatments were established by adding growth factors Wnt</w:t>
      </w:r>
      <w:r w:rsidR="007E6E4B">
        <w:t>3a (25ng/mL)</w:t>
      </w:r>
      <w:r w:rsidR="005B7918">
        <w:t xml:space="preserve"> and Activin A</w:t>
      </w:r>
      <w:r w:rsidR="007E6E4B">
        <w:t xml:space="preserve"> (WA; 9ng/mL)</w:t>
      </w:r>
      <w:r w:rsidR="005B7918">
        <w:t xml:space="preserve"> along with one of the following</w:t>
      </w:r>
      <w:r w:rsidR="007E6E4B">
        <w:t xml:space="preserve"> additional growth factors: Noggin (150ng/mL), </w:t>
      </w:r>
      <w:proofErr w:type="spellStart"/>
      <w:r w:rsidR="007E6E4B">
        <w:t>Gsk</w:t>
      </w:r>
      <w:proofErr w:type="spellEnd"/>
      <w:r w:rsidR="007E6E4B">
        <w:t xml:space="preserve"> inhibitor (</w:t>
      </w:r>
      <w:r w:rsidR="000446FD">
        <w:t>10mM</w:t>
      </w:r>
      <w:r w:rsidR="007E6E4B">
        <w:t>), or BMP4 (</w:t>
      </w:r>
      <w:r w:rsidR="00FB0F7D">
        <w:t>0.5ng/mL</w:t>
      </w:r>
      <w:r w:rsidR="007E6E4B">
        <w:t xml:space="preserve">). </w:t>
      </w:r>
      <w:r w:rsidR="00935127">
        <w:t>After a 48</w:t>
      </w:r>
      <w:r w:rsidR="00FB0F7D">
        <w:t>-</w:t>
      </w:r>
      <w:r w:rsidR="00935127">
        <w:t>hour primitive streak induction, embryoid bodies (EBs) were dissociated to a single cell suspension</w:t>
      </w:r>
      <w:r w:rsidR="00FB07B7">
        <w:t xml:space="preserve"> </w:t>
      </w:r>
      <w:r w:rsidR="002208BF">
        <w:t xml:space="preserve">by incubating them in </w:t>
      </w:r>
      <w:proofErr w:type="spellStart"/>
      <w:r w:rsidR="002208BF">
        <w:t>TrypLE</w:t>
      </w:r>
      <w:proofErr w:type="spellEnd"/>
      <w:r w:rsidR="002208BF">
        <w:t xml:space="preserve"> and straining through a 40uM cell strainer.</w:t>
      </w:r>
      <w:r w:rsidR="00935127">
        <w:t xml:space="preserve"> </w:t>
      </w:r>
      <w:r w:rsidR="002208BF">
        <w:t>T</w:t>
      </w:r>
      <w:r w:rsidR="00935127">
        <w:t xml:space="preserve">he GFP+ population was isolated </w:t>
      </w:r>
      <w:r w:rsidR="003B09D1">
        <w:t>by fluorescen</w:t>
      </w:r>
      <w:r w:rsidR="00446869">
        <w:t xml:space="preserve">ce-activated cell sorting (FACS) and subsequently re-aggregated to form EBs in SFD with </w:t>
      </w:r>
      <w:proofErr w:type="spellStart"/>
      <w:r w:rsidR="00446869">
        <w:t>bFGF</w:t>
      </w:r>
      <w:proofErr w:type="spellEnd"/>
      <w:r w:rsidR="00446869">
        <w:t xml:space="preserve"> (</w:t>
      </w:r>
      <w:r w:rsidR="002208BF">
        <w:t>10ng/mL</w:t>
      </w:r>
      <w:r w:rsidR="00446869">
        <w:t xml:space="preserve">) for 48 hours.  At day 6, EBs were dissociated and plated as a monolayer on 0.1% gelatin-coated tissue culture plates in SFD with </w:t>
      </w:r>
      <w:proofErr w:type="spellStart"/>
      <w:r w:rsidR="00446869">
        <w:t>bFGF</w:t>
      </w:r>
      <w:proofErr w:type="spellEnd"/>
      <w:r w:rsidR="00446869">
        <w:t xml:space="preserve"> (</w:t>
      </w:r>
      <w:r w:rsidR="002208BF">
        <w:t>10ng/mL</w:t>
      </w:r>
      <w:r w:rsidR="00446869">
        <w:t>) and Gdf5 (</w:t>
      </w:r>
      <w:r w:rsidR="002208BF">
        <w:t>30ng/mL</w:t>
      </w:r>
      <w:r w:rsidR="00446869">
        <w:t>)</w:t>
      </w:r>
      <w:r w:rsidR="006D35CB">
        <w:t xml:space="preserve"> for 48 hours.  Separate experiments were started in a staggered manner such that </w:t>
      </w:r>
      <w:r w:rsidR="002208BF">
        <w:t>on the day</w:t>
      </w:r>
      <w:r w:rsidR="006D35CB">
        <w:t xml:space="preserve"> of sequencing we had samples representing every day of the experiment from day 0 to day 8. </w:t>
      </w:r>
      <w:r w:rsidR="006A1E17">
        <w:t xml:space="preserve">We </w:t>
      </w:r>
      <w:r w:rsidR="002208BF">
        <w:t>had</w:t>
      </w:r>
      <w:r w:rsidR="006A1E17">
        <w:t xml:space="preserve"> samples representing four different primitive streak inductions conditions as well as samples that were not sorted for </w:t>
      </w:r>
      <w:r w:rsidR="002208BF">
        <w:t>GFP</w:t>
      </w:r>
      <w:r w:rsidR="006A1E17">
        <w:t xml:space="preserve"> at day 4.  </w:t>
      </w:r>
      <w:r w:rsidR="000446FD">
        <w:t xml:space="preserve">On the day of </w:t>
      </w:r>
      <w:r w:rsidR="00FB07B7">
        <w:t xml:space="preserve">sequencing, EBs </w:t>
      </w:r>
      <w:r w:rsidR="000446FD">
        <w:t xml:space="preserve">and monolayers were dissociated to a single cell suspension through the use of </w:t>
      </w:r>
      <w:proofErr w:type="spellStart"/>
      <w:r w:rsidR="000446FD">
        <w:t>TrypLE</w:t>
      </w:r>
      <w:proofErr w:type="spellEnd"/>
      <w:r w:rsidR="000446FD">
        <w:t xml:space="preserve"> and 40uM cell strainers.  </w:t>
      </w:r>
    </w:p>
    <w:p w14:paraId="3063CFA5" w14:textId="57C13799" w:rsidR="00656A45" w:rsidRDefault="00656A45" w:rsidP="00656A45">
      <w:pPr>
        <w:pStyle w:val="ListParagraph"/>
        <w:numPr>
          <w:ilvl w:val="0"/>
          <w:numId w:val="1"/>
        </w:numPr>
      </w:pPr>
      <w:r>
        <w:t>Multi-</w:t>
      </w:r>
      <w:proofErr w:type="spellStart"/>
      <w:r w:rsidR="00656C90">
        <w:t>S</w:t>
      </w:r>
      <w:r>
        <w:t>eq</w:t>
      </w:r>
      <w:proofErr w:type="spellEnd"/>
      <w:r>
        <w:t xml:space="preserve"> protocol</w:t>
      </w:r>
    </w:p>
    <w:p w14:paraId="0021BA32" w14:textId="508D5A99" w:rsidR="00656A45" w:rsidRDefault="00656A45" w:rsidP="00656A45">
      <w:pPr>
        <w:pStyle w:val="ListParagraph"/>
        <w:numPr>
          <w:ilvl w:val="1"/>
          <w:numId w:val="1"/>
        </w:numPr>
      </w:pPr>
      <w:r>
        <w:t>We utilized the MULTI-</w:t>
      </w:r>
      <w:proofErr w:type="spellStart"/>
      <w:r>
        <w:t>seq</w:t>
      </w:r>
      <w:proofErr w:type="spellEnd"/>
      <w:r>
        <w:t xml:space="preserve"> sample barcoding and library preparation protocol from the McGinnis lab </w:t>
      </w:r>
      <w:r>
        <w:fldChar w:fldCharType="begin"/>
      </w:r>
      <w:r>
        <w:instrText>ADDIN F1000_CSL_CITATION&lt;~#@#~&gt;[{"DOI":"10.1038/s41592-019-0433-8","First":false,"Last":false,"PMCID":"PMC6837808","PMID":"31209384","abstract":"Sample multiplexing facilitates scRNA-seq by reducing costs and identifying artifacts such as cell doublets. However, universal and scalable sample barcoding strategies have not been described. We therefore developed MULTI-seq: multiplexing using lipid-tagged indices for single-cell and single-nucleus RNA sequencing. MULTI-seq reagents can barcode any cell type or nucleus from any species with an accessible plasma membrane. The method involves minimal sample processing, thereby preserving cell viability and endogenous gene expression patterns. When cells are classified into sample groups using MULTI-seq barcode abundances, data quality is improved through doublet identification and recovery of cells with low RNA content that would otherwise be discarded by standard quality-control workflows. We use MULTI-seq to track the dynamics of T-cell activation, perform a 96-plex perturbation experiment with primary human mammary epithelial cells and multiplex cryopreserved tumors and metastatic sites isolated from a patient-derived xenograft mouse model of triple-negative breast cancer.","author":[{"family":"McGinnis","given":"Christopher S"},{"family":"Patterson","given":"David M"},{"family":"Winkler","given":"Juliane"},{"family":"Conrad","given":"Daniel N"},{"family":"Hein","given":"Marco Y"},{"family":"Srivastava","given":"Vasudha"},{"family":"Hu","given":"Jennifer L"},{"family":"Murrow","given":"Lyndsay M"},{"family":"Weissman","given":"Jonathan S"},{"family":"Werb","given":"Zena"},{"family":"Chow","given":"Eric D"},{"family":"Gartner","given":"Zev J"}],"authorYearDisplayFormat":false,"citation-label":"7088555","container-title":"Nature Methods","container-title-short":"Nat. Methods","id":"7088555","invisible":false,"issue":"7","issued":{"date-parts":[["2019","6","17"]]},"journalAbbreviation":"Nat. Methods","page":"619-626","suppress-author":false,"title":"MULTI-seq: sample multiplexing for single-cell RNA sequencing using lipid-tagged indices.","type":"article-journal","volume":"16"}]</w:instrText>
      </w:r>
      <w:r>
        <w:fldChar w:fldCharType="separate"/>
      </w:r>
      <w:r w:rsidRPr="00FB0F7D">
        <w:rPr>
          <w:noProof/>
        </w:rPr>
        <w:t>(McGinnis et al. 2019)</w:t>
      </w:r>
      <w:r>
        <w:fldChar w:fldCharType="end"/>
      </w:r>
      <w:r>
        <w:t xml:space="preserve"> in order to sequence 27 samples in two 10x capture runs. In short, the protocol involved tagging cell membranes with sample specific barcodes using a lipid-modified oligonucleotide (LMO). The LMOs (reagents obtained from the McGinnis lab) anchor into the cell membrane and allow for the attachment of a normal ssDNA oligonucleotide (MULTI-</w:t>
      </w:r>
      <w:proofErr w:type="spellStart"/>
      <w:r>
        <w:t>Seq</w:t>
      </w:r>
      <w:proofErr w:type="spellEnd"/>
      <w:r>
        <w:t xml:space="preserve"> barcode). A unique MULTI-</w:t>
      </w:r>
      <w:proofErr w:type="spellStart"/>
      <w:r>
        <w:t>seq</w:t>
      </w:r>
      <w:proofErr w:type="spellEnd"/>
      <w:r>
        <w:t xml:space="preserve"> barcode was added to each sample after which, all samples were pooled and sequenced as if they were one sample. </w:t>
      </w:r>
      <w:r w:rsidR="00BB1F9B">
        <w:t>An equal</w:t>
      </w:r>
      <w:r>
        <w:t xml:space="preserve"> number of cells from each sample were combined to make up the pooled samples and ensure equal representation</w:t>
      </w:r>
      <w:r w:rsidR="00BB1F9B">
        <w:t xml:space="preserve"> of each sample after down-stream sequencing.</w:t>
      </w:r>
      <w:r>
        <w:t xml:space="preserve"> </w:t>
      </w:r>
      <w:r>
        <w:t>MULTI-</w:t>
      </w:r>
      <w:proofErr w:type="spellStart"/>
      <w:r>
        <w:t>Seq</w:t>
      </w:r>
      <w:proofErr w:type="spellEnd"/>
      <w:r>
        <w:t xml:space="preserve"> barcodes were used down-stream to identify which cells were from which samples. </w:t>
      </w:r>
    </w:p>
    <w:p w14:paraId="28F0CE0E" w14:textId="77777777" w:rsidR="00656A45" w:rsidRDefault="00656A45" w:rsidP="00656A45">
      <w:pPr>
        <w:pStyle w:val="ListParagraph"/>
        <w:numPr>
          <w:ilvl w:val="1"/>
          <w:numId w:val="1"/>
        </w:numPr>
      </w:pPr>
      <w:r>
        <w:t>Include multi-</w:t>
      </w:r>
      <w:proofErr w:type="spellStart"/>
      <w:r>
        <w:t>seq</w:t>
      </w:r>
      <w:proofErr w:type="spellEnd"/>
      <w:r>
        <w:t xml:space="preserve"> barcode sequences we used in supplement. We used barcodes 1-16. </w:t>
      </w:r>
    </w:p>
    <w:p w14:paraId="391DCA47" w14:textId="015B9D58" w:rsidR="00656A45" w:rsidRDefault="00656A45" w:rsidP="00656A45">
      <w:pPr>
        <w:pStyle w:val="ListParagraph"/>
        <w:numPr>
          <w:ilvl w:val="1"/>
          <w:numId w:val="1"/>
        </w:numPr>
      </w:pPr>
      <w:r>
        <w:t>Attach multi-</w:t>
      </w:r>
      <w:proofErr w:type="spellStart"/>
      <w:r>
        <w:t>seq</w:t>
      </w:r>
      <w:proofErr w:type="spellEnd"/>
      <w:r>
        <w:t xml:space="preserve"> protocol </w:t>
      </w:r>
      <w:r w:rsidR="00F71928">
        <w:t>as supplemental methods</w:t>
      </w:r>
      <w:r>
        <w:t>?</w:t>
      </w:r>
    </w:p>
    <w:p w14:paraId="603F5EE2" w14:textId="78CC60DB" w:rsidR="00656A45" w:rsidRDefault="00656A45" w:rsidP="00656A45">
      <w:pPr>
        <w:pStyle w:val="ListParagraph"/>
        <w:numPr>
          <w:ilvl w:val="0"/>
          <w:numId w:val="1"/>
        </w:numPr>
      </w:pPr>
      <w:r>
        <w:t xml:space="preserve">Library Preparation and </w:t>
      </w:r>
      <w:r>
        <w:t>Sequencing</w:t>
      </w:r>
    </w:p>
    <w:p w14:paraId="37CF8D12" w14:textId="2013D061" w:rsidR="00656A45" w:rsidRDefault="00656A45" w:rsidP="00656A45">
      <w:pPr>
        <w:pStyle w:val="ListParagraph"/>
        <w:numPr>
          <w:ilvl w:val="1"/>
          <w:numId w:val="1"/>
        </w:numPr>
      </w:pPr>
      <w:r>
        <w:t>After cells were successfully tagged and pooled</w:t>
      </w:r>
      <w:r w:rsidR="00656C90">
        <w:t xml:space="preserve">, they were submitted to the sequencing core facility for 10x capture and library preparation. </w:t>
      </w:r>
      <w:r w:rsidR="00F71928">
        <w:t xml:space="preserve">A </w:t>
      </w:r>
      <w:proofErr w:type="spellStart"/>
      <w:r w:rsidR="00F71928">
        <w:t>Truseq</w:t>
      </w:r>
      <w:proofErr w:type="spellEnd"/>
      <w:r w:rsidR="00F71928">
        <w:t xml:space="preserve"> library preparation was performed with the necessary adjustments made to accommodate the MULTI-</w:t>
      </w:r>
      <w:proofErr w:type="spellStart"/>
      <w:r w:rsidR="00F71928">
        <w:t>Seq</w:t>
      </w:r>
      <w:proofErr w:type="spellEnd"/>
      <w:r w:rsidR="00F71928">
        <w:t xml:space="preserve"> platform (outlined in supplemental methods). </w:t>
      </w:r>
      <w:r>
        <w:t xml:space="preserve">Libraries were sequenced on Illumina </w:t>
      </w:r>
      <w:proofErr w:type="spellStart"/>
      <w:r>
        <w:t>N</w:t>
      </w:r>
      <w:r w:rsidR="00656C90">
        <w:t>ova</w:t>
      </w:r>
      <w:r>
        <w:t>Seq</w:t>
      </w:r>
      <w:proofErr w:type="spellEnd"/>
      <w:r w:rsidR="00656C90">
        <w:t xml:space="preserve">. </w:t>
      </w:r>
    </w:p>
    <w:p w14:paraId="7754C2E0" w14:textId="1DC17728" w:rsidR="008C5297" w:rsidRDefault="00A96F89" w:rsidP="00894ACF">
      <w:pPr>
        <w:pStyle w:val="ListParagraph"/>
        <w:numPr>
          <w:ilvl w:val="0"/>
          <w:numId w:val="1"/>
        </w:numPr>
      </w:pPr>
      <w:r>
        <w:lastRenderedPageBreak/>
        <w:t>S</w:t>
      </w:r>
      <w:r w:rsidR="00527F6A">
        <w:t>amples</w:t>
      </w:r>
      <w:r w:rsidR="000446FD">
        <w:t xml:space="preserve"> (</w:t>
      </w:r>
      <w:r>
        <w:t>make figure</w:t>
      </w:r>
      <w:r w:rsidR="000446FD">
        <w:t>?)</w:t>
      </w:r>
      <w:bookmarkStart w:id="0" w:name="_GoBack"/>
      <w:bookmarkEnd w:id="0"/>
    </w:p>
    <w:p w14:paraId="09C4FBB2" w14:textId="4E71E1E3" w:rsidR="00527F6A" w:rsidRDefault="005B7918" w:rsidP="00894ACF">
      <w:pPr>
        <w:pStyle w:val="ListParagraph"/>
        <w:numPr>
          <w:ilvl w:val="1"/>
          <w:numId w:val="1"/>
        </w:numPr>
      </w:pPr>
      <w:r>
        <w:t>R</w:t>
      </w:r>
      <w:r w:rsidR="00527F6A">
        <w:t>ound 1</w:t>
      </w:r>
    </w:p>
    <w:p w14:paraId="64F899ED" w14:textId="77777777" w:rsidR="00E12495" w:rsidRDefault="00127F23" w:rsidP="00894ACF">
      <w:pPr>
        <w:pStyle w:val="ListParagraph"/>
        <w:numPr>
          <w:ilvl w:val="2"/>
          <w:numId w:val="1"/>
        </w:numPr>
      </w:pPr>
      <w:r>
        <w:t>d</w:t>
      </w:r>
      <w:r w:rsidR="00527F6A">
        <w:t>0</w:t>
      </w:r>
    </w:p>
    <w:p w14:paraId="30361721" w14:textId="77777777" w:rsidR="00527F6A" w:rsidRDefault="00E12495" w:rsidP="00894ACF">
      <w:pPr>
        <w:pStyle w:val="ListParagraph"/>
        <w:numPr>
          <w:ilvl w:val="2"/>
          <w:numId w:val="1"/>
        </w:numPr>
      </w:pPr>
      <w:r>
        <w:t>d1</w:t>
      </w:r>
    </w:p>
    <w:p w14:paraId="26221466" w14:textId="77777777" w:rsidR="00E12495" w:rsidRDefault="00127F23" w:rsidP="00894ACF">
      <w:pPr>
        <w:pStyle w:val="ListParagraph"/>
        <w:numPr>
          <w:ilvl w:val="2"/>
          <w:numId w:val="1"/>
        </w:numPr>
      </w:pPr>
      <w:r>
        <w:t>d</w:t>
      </w:r>
      <w:r w:rsidR="00527F6A">
        <w:t>2</w:t>
      </w:r>
    </w:p>
    <w:p w14:paraId="04754481" w14:textId="77777777" w:rsidR="00E12495" w:rsidRDefault="00E12495" w:rsidP="00894ACF">
      <w:pPr>
        <w:pStyle w:val="ListParagraph"/>
        <w:numPr>
          <w:ilvl w:val="2"/>
          <w:numId w:val="1"/>
        </w:numPr>
      </w:pPr>
      <w:r>
        <w:t>d3WA</w:t>
      </w:r>
    </w:p>
    <w:p w14:paraId="21D1CC3A" w14:textId="77777777" w:rsidR="001E55CB" w:rsidRDefault="001E55CB" w:rsidP="00894ACF">
      <w:pPr>
        <w:pStyle w:val="ListParagraph"/>
        <w:numPr>
          <w:ilvl w:val="2"/>
          <w:numId w:val="1"/>
        </w:numPr>
      </w:pPr>
      <w:r>
        <w:t>d3WAB</w:t>
      </w:r>
    </w:p>
    <w:p w14:paraId="08948BDD" w14:textId="77777777" w:rsidR="00E12495" w:rsidRDefault="00E12495" w:rsidP="00894ACF">
      <w:pPr>
        <w:pStyle w:val="ListParagraph"/>
        <w:numPr>
          <w:ilvl w:val="2"/>
          <w:numId w:val="1"/>
        </w:numPr>
      </w:pPr>
      <w:r>
        <w:t>d3WAN</w:t>
      </w:r>
    </w:p>
    <w:p w14:paraId="45C65901" w14:textId="77777777" w:rsidR="00E12495" w:rsidRDefault="00E12495" w:rsidP="00894ACF">
      <w:pPr>
        <w:pStyle w:val="ListParagraph"/>
        <w:numPr>
          <w:ilvl w:val="2"/>
          <w:numId w:val="1"/>
        </w:numPr>
      </w:pPr>
      <w:r>
        <w:t>d3WAG</w:t>
      </w:r>
    </w:p>
    <w:p w14:paraId="65514C49" w14:textId="77777777" w:rsidR="00527F6A" w:rsidRDefault="00127F23" w:rsidP="00894ACF">
      <w:pPr>
        <w:pStyle w:val="ListParagraph"/>
        <w:numPr>
          <w:ilvl w:val="2"/>
          <w:numId w:val="1"/>
        </w:numPr>
      </w:pPr>
      <w:r>
        <w:t>d</w:t>
      </w:r>
      <w:r w:rsidR="00527F6A">
        <w:t>4</w:t>
      </w:r>
      <w:r w:rsidR="001E55CB">
        <w:t>WA</w:t>
      </w:r>
    </w:p>
    <w:p w14:paraId="7AE86CF3" w14:textId="77777777" w:rsidR="00E12495" w:rsidRPr="00B90E0B" w:rsidRDefault="00E12495" w:rsidP="00894ACF">
      <w:pPr>
        <w:pStyle w:val="ListParagraph"/>
        <w:numPr>
          <w:ilvl w:val="2"/>
          <w:numId w:val="1"/>
        </w:numPr>
        <w:rPr>
          <w:color w:val="FF0000"/>
        </w:rPr>
      </w:pPr>
      <w:r w:rsidRPr="00B90E0B">
        <w:rPr>
          <w:color w:val="FF0000"/>
        </w:rPr>
        <w:t>d4</w:t>
      </w:r>
      <w:r w:rsidR="001E55CB" w:rsidRPr="00B90E0B">
        <w:rPr>
          <w:color w:val="FF0000"/>
        </w:rPr>
        <w:t>WAB</w:t>
      </w:r>
    </w:p>
    <w:p w14:paraId="41A89DB7" w14:textId="77777777" w:rsidR="001E55CB" w:rsidRDefault="001E55CB" w:rsidP="00894ACF">
      <w:pPr>
        <w:pStyle w:val="ListParagraph"/>
        <w:numPr>
          <w:ilvl w:val="2"/>
          <w:numId w:val="1"/>
        </w:numPr>
      </w:pPr>
      <w:r>
        <w:t>d4WAN</w:t>
      </w:r>
    </w:p>
    <w:p w14:paraId="7CB73DA2" w14:textId="77777777" w:rsidR="001E55CB" w:rsidRPr="00B90E0B" w:rsidRDefault="001E55CB" w:rsidP="00894ACF">
      <w:pPr>
        <w:pStyle w:val="ListParagraph"/>
        <w:numPr>
          <w:ilvl w:val="2"/>
          <w:numId w:val="1"/>
        </w:numPr>
        <w:rPr>
          <w:color w:val="FF0000"/>
        </w:rPr>
      </w:pPr>
      <w:r w:rsidRPr="00B90E0B">
        <w:rPr>
          <w:color w:val="FF0000"/>
        </w:rPr>
        <w:t>d4WAG</w:t>
      </w:r>
    </w:p>
    <w:p w14:paraId="1CC46CFC" w14:textId="77777777" w:rsidR="00527F6A" w:rsidRDefault="00527F6A" w:rsidP="00894ACF">
      <w:pPr>
        <w:pStyle w:val="ListParagraph"/>
        <w:numPr>
          <w:ilvl w:val="1"/>
          <w:numId w:val="1"/>
        </w:numPr>
      </w:pPr>
      <w:r>
        <w:t>Round 2</w:t>
      </w:r>
    </w:p>
    <w:p w14:paraId="3695C036" w14:textId="77777777" w:rsidR="00127F23" w:rsidRPr="00B90E0B" w:rsidRDefault="00127F23" w:rsidP="00894ACF">
      <w:pPr>
        <w:pStyle w:val="ListParagraph"/>
        <w:numPr>
          <w:ilvl w:val="2"/>
          <w:numId w:val="1"/>
        </w:numPr>
        <w:rPr>
          <w:color w:val="FF0000"/>
        </w:rPr>
      </w:pPr>
      <w:r w:rsidRPr="00B90E0B">
        <w:rPr>
          <w:color w:val="FF0000"/>
        </w:rPr>
        <w:t>d4g164WAG unsorted</w:t>
      </w:r>
    </w:p>
    <w:p w14:paraId="29FBA818" w14:textId="77777777" w:rsidR="00127F23" w:rsidRPr="00B90E0B" w:rsidRDefault="00127F23" w:rsidP="00894ACF">
      <w:pPr>
        <w:pStyle w:val="ListParagraph"/>
        <w:numPr>
          <w:ilvl w:val="2"/>
          <w:numId w:val="1"/>
        </w:numPr>
        <w:rPr>
          <w:color w:val="FF0000"/>
        </w:rPr>
      </w:pPr>
      <w:r w:rsidRPr="00B90E0B">
        <w:rPr>
          <w:color w:val="FF0000"/>
        </w:rPr>
        <w:t>d4g164WAB unsorted</w:t>
      </w:r>
    </w:p>
    <w:p w14:paraId="366C5758" w14:textId="77777777" w:rsidR="00127F23" w:rsidRDefault="00127F23" w:rsidP="00894ACF">
      <w:pPr>
        <w:pStyle w:val="ListParagraph"/>
        <w:numPr>
          <w:ilvl w:val="2"/>
          <w:numId w:val="1"/>
        </w:numPr>
      </w:pPr>
      <w:r>
        <w:t>d4g</w:t>
      </w:r>
      <w:r w:rsidR="00E12495">
        <w:t>164WAG sorted</w:t>
      </w:r>
    </w:p>
    <w:p w14:paraId="755F8E67" w14:textId="4AFEF2A9" w:rsidR="00E12495" w:rsidRDefault="00E12495" w:rsidP="00894ACF">
      <w:pPr>
        <w:pStyle w:val="ListParagraph"/>
        <w:numPr>
          <w:ilvl w:val="2"/>
          <w:numId w:val="1"/>
        </w:numPr>
      </w:pPr>
      <w:r>
        <w:t>d4g164W</w:t>
      </w:r>
      <w:r w:rsidR="00446869">
        <w:t>A</w:t>
      </w:r>
      <w:r>
        <w:t>B sorted</w:t>
      </w:r>
    </w:p>
    <w:p w14:paraId="6DE6F189" w14:textId="77777777" w:rsidR="00527F6A" w:rsidRDefault="00127F23" w:rsidP="00894ACF">
      <w:pPr>
        <w:pStyle w:val="ListParagraph"/>
        <w:numPr>
          <w:ilvl w:val="2"/>
          <w:numId w:val="1"/>
        </w:numPr>
      </w:pPr>
      <w:r>
        <w:t>d5g163WAG unsorted</w:t>
      </w:r>
    </w:p>
    <w:p w14:paraId="4FCD192B" w14:textId="77777777" w:rsidR="00127F23" w:rsidRDefault="00127F23" w:rsidP="00894ACF">
      <w:pPr>
        <w:pStyle w:val="ListParagraph"/>
        <w:numPr>
          <w:ilvl w:val="2"/>
          <w:numId w:val="1"/>
        </w:numPr>
      </w:pPr>
      <w:r>
        <w:t>d5g163WAB unsorted</w:t>
      </w:r>
    </w:p>
    <w:p w14:paraId="0A4B5EF7" w14:textId="77777777" w:rsidR="00127F23" w:rsidRDefault="00127F23" w:rsidP="00894ACF">
      <w:pPr>
        <w:pStyle w:val="ListParagraph"/>
        <w:numPr>
          <w:ilvl w:val="2"/>
          <w:numId w:val="1"/>
        </w:numPr>
      </w:pPr>
      <w:r>
        <w:t>d5g163WAG sorted</w:t>
      </w:r>
    </w:p>
    <w:p w14:paraId="0886E321" w14:textId="77777777" w:rsidR="00127F23" w:rsidRDefault="00127F23" w:rsidP="00894ACF">
      <w:pPr>
        <w:pStyle w:val="ListParagraph"/>
        <w:numPr>
          <w:ilvl w:val="2"/>
          <w:numId w:val="1"/>
        </w:numPr>
      </w:pPr>
      <w:r>
        <w:t>d5g163WAB sorted</w:t>
      </w:r>
    </w:p>
    <w:p w14:paraId="39C421B6" w14:textId="77777777" w:rsidR="00E12495" w:rsidRDefault="00E12495" w:rsidP="00894ACF">
      <w:pPr>
        <w:pStyle w:val="ListParagraph"/>
        <w:numPr>
          <w:ilvl w:val="2"/>
          <w:numId w:val="1"/>
        </w:numPr>
      </w:pPr>
      <w:r>
        <w:t>d6g162WAG unsorted</w:t>
      </w:r>
    </w:p>
    <w:p w14:paraId="344E09DA" w14:textId="77777777" w:rsidR="00E12495" w:rsidRDefault="00E12495" w:rsidP="00894ACF">
      <w:pPr>
        <w:pStyle w:val="ListParagraph"/>
        <w:numPr>
          <w:ilvl w:val="2"/>
          <w:numId w:val="1"/>
        </w:numPr>
      </w:pPr>
      <w:r>
        <w:t>d6g162WAB unsorted</w:t>
      </w:r>
    </w:p>
    <w:p w14:paraId="30DCB5A8" w14:textId="77777777" w:rsidR="00E12495" w:rsidRDefault="00E12495" w:rsidP="00894ACF">
      <w:pPr>
        <w:pStyle w:val="ListParagraph"/>
        <w:numPr>
          <w:ilvl w:val="2"/>
          <w:numId w:val="1"/>
        </w:numPr>
      </w:pPr>
      <w:r>
        <w:t>d6g162WAB sorted</w:t>
      </w:r>
    </w:p>
    <w:p w14:paraId="1E31B01F" w14:textId="77777777" w:rsidR="00E12495" w:rsidRDefault="00E12495" w:rsidP="00894ACF">
      <w:pPr>
        <w:pStyle w:val="ListParagraph"/>
        <w:numPr>
          <w:ilvl w:val="2"/>
          <w:numId w:val="1"/>
        </w:numPr>
      </w:pPr>
      <w:r>
        <w:t>d7g161WAG unsorted</w:t>
      </w:r>
    </w:p>
    <w:p w14:paraId="733E50AD" w14:textId="77777777" w:rsidR="00E12495" w:rsidRDefault="00E12495" w:rsidP="00894ACF">
      <w:pPr>
        <w:pStyle w:val="ListParagraph"/>
        <w:numPr>
          <w:ilvl w:val="2"/>
          <w:numId w:val="1"/>
        </w:numPr>
      </w:pPr>
      <w:r>
        <w:t>d7g161WAB unsorted</w:t>
      </w:r>
    </w:p>
    <w:p w14:paraId="38A9FEA0" w14:textId="77777777" w:rsidR="00E12495" w:rsidRDefault="00E12495" w:rsidP="00894ACF">
      <w:pPr>
        <w:pStyle w:val="ListParagraph"/>
        <w:numPr>
          <w:ilvl w:val="2"/>
          <w:numId w:val="1"/>
        </w:numPr>
      </w:pPr>
      <w:r>
        <w:t>d7g161WAB sorted</w:t>
      </w:r>
    </w:p>
    <w:p w14:paraId="6C9A0AAD" w14:textId="77777777" w:rsidR="00E12495" w:rsidRDefault="00E12495" w:rsidP="00894ACF">
      <w:pPr>
        <w:pStyle w:val="ListParagraph"/>
        <w:numPr>
          <w:ilvl w:val="2"/>
          <w:numId w:val="1"/>
        </w:numPr>
      </w:pPr>
      <w:r>
        <w:t>d8g160WAG unsorted</w:t>
      </w:r>
    </w:p>
    <w:p w14:paraId="322AE943" w14:textId="48CC4538" w:rsidR="008C5297" w:rsidRDefault="00E12495" w:rsidP="00894ACF">
      <w:pPr>
        <w:pStyle w:val="ListParagraph"/>
        <w:numPr>
          <w:ilvl w:val="2"/>
          <w:numId w:val="1"/>
        </w:numPr>
      </w:pPr>
      <w:r>
        <w:t>d8g160WAB unsorted</w:t>
      </w:r>
      <w:r w:rsidR="008C5297">
        <w:t xml:space="preserve"> </w:t>
      </w:r>
    </w:p>
    <w:p w14:paraId="15188A4A" w14:textId="77777777" w:rsidR="00B62DEE" w:rsidRDefault="00B62DEE" w:rsidP="007C5C41"/>
    <w:p w14:paraId="4E45BF0B" w14:textId="77777777" w:rsidR="00B62DEE" w:rsidRDefault="00B62DEE" w:rsidP="007C5C41"/>
    <w:p w14:paraId="26B27AEE" w14:textId="6B0F8A9E" w:rsidR="007C5C41" w:rsidRDefault="00733D2C" w:rsidP="007C5C41">
      <w:r>
        <w:t>Bibliography</w:t>
      </w:r>
    </w:p>
    <w:p w14:paraId="230544EA" w14:textId="77777777" w:rsidR="00FB0F7D" w:rsidRPr="00FB0F7D" w:rsidRDefault="00733D2C">
      <w:pPr>
        <w:widowControl w:val="0"/>
        <w:autoSpaceDE w:val="0"/>
        <w:autoSpaceDN w:val="0"/>
        <w:adjustRightInd w:val="0"/>
        <w:rPr>
          <w:rFonts w:ascii="Calibri" w:hAnsi="Calibri" w:cs="Calibri"/>
          <w:noProof/>
        </w:rPr>
      </w:pPr>
      <w:r>
        <w:fldChar w:fldCharType="begin"/>
      </w:r>
      <w:r w:rsidR="00FB0F7D">
        <w:instrText>ADDIN F1000_CSL_BIBLIOGRAPHY</w:instrText>
      </w:r>
      <w:r>
        <w:fldChar w:fldCharType="separate"/>
      </w:r>
    </w:p>
    <w:p w14:paraId="1C317770" w14:textId="77777777" w:rsidR="00FB0F7D" w:rsidRPr="00FB0F7D" w:rsidRDefault="00FB0F7D">
      <w:pPr>
        <w:widowControl w:val="0"/>
        <w:autoSpaceDE w:val="0"/>
        <w:autoSpaceDN w:val="0"/>
        <w:adjustRightInd w:val="0"/>
        <w:rPr>
          <w:rFonts w:ascii="Calibri" w:hAnsi="Calibri" w:cs="Calibri"/>
          <w:noProof/>
        </w:rPr>
      </w:pPr>
      <w:r w:rsidRPr="00FB0F7D">
        <w:rPr>
          <w:rFonts w:ascii="Calibri" w:hAnsi="Calibri" w:cs="Calibri"/>
          <w:noProof/>
        </w:rPr>
        <w:t xml:space="preserve">Gadue, P., Huber, T.L., Paddison, P.J. and Keller, G.M. 2006. Wnt and TGF-beta signaling are required for the induction of an in vitro model of primitive streak formation using embryonic stem cells. </w:t>
      </w:r>
      <w:r w:rsidRPr="00FB0F7D">
        <w:rPr>
          <w:rFonts w:ascii="Calibri" w:hAnsi="Calibri" w:cs="Calibri"/>
          <w:i/>
          <w:iCs/>
          <w:noProof/>
        </w:rPr>
        <w:t>Proceedings of the National Academy of Sciences of the United States of America</w:t>
      </w:r>
      <w:r w:rsidRPr="00FB0F7D">
        <w:rPr>
          <w:rFonts w:ascii="Calibri" w:hAnsi="Calibri" w:cs="Calibri"/>
          <w:noProof/>
        </w:rPr>
        <w:t xml:space="preserve"> 103(45), pp. 16806–16811.</w:t>
      </w:r>
    </w:p>
    <w:p w14:paraId="30BFC088" w14:textId="77777777" w:rsidR="00FB0F7D" w:rsidRPr="00FB0F7D" w:rsidRDefault="00FB0F7D">
      <w:pPr>
        <w:widowControl w:val="0"/>
        <w:autoSpaceDE w:val="0"/>
        <w:autoSpaceDN w:val="0"/>
        <w:adjustRightInd w:val="0"/>
        <w:rPr>
          <w:rFonts w:ascii="Calibri" w:hAnsi="Calibri" w:cs="Calibri"/>
          <w:noProof/>
        </w:rPr>
      </w:pPr>
      <w:r w:rsidRPr="00FB0F7D">
        <w:rPr>
          <w:rFonts w:ascii="Calibri" w:hAnsi="Calibri" w:cs="Calibri"/>
          <w:noProof/>
        </w:rPr>
        <w:t xml:space="preserve">McGinnis, C.S., Patterson, D.M., Winkler, J., et al. 2019. MULTI-seq: sample multiplexing for single-cell RNA sequencing using lipid-tagged indices. </w:t>
      </w:r>
      <w:r w:rsidRPr="00FB0F7D">
        <w:rPr>
          <w:rFonts w:ascii="Calibri" w:hAnsi="Calibri" w:cs="Calibri"/>
          <w:i/>
          <w:iCs/>
          <w:noProof/>
        </w:rPr>
        <w:t>Nature Methods</w:t>
      </w:r>
      <w:r w:rsidRPr="00FB0F7D">
        <w:rPr>
          <w:rFonts w:ascii="Calibri" w:hAnsi="Calibri" w:cs="Calibri"/>
          <w:noProof/>
        </w:rPr>
        <w:t xml:space="preserve"> 16(7), pp. 619–626.</w:t>
      </w:r>
    </w:p>
    <w:p w14:paraId="4749E7C4" w14:textId="77777777" w:rsidR="00FB0F7D" w:rsidRPr="00FB0F7D" w:rsidRDefault="00FB0F7D">
      <w:pPr>
        <w:widowControl w:val="0"/>
        <w:autoSpaceDE w:val="0"/>
        <w:autoSpaceDN w:val="0"/>
        <w:adjustRightInd w:val="0"/>
        <w:rPr>
          <w:rFonts w:ascii="Calibri" w:hAnsi="Calibri" w:cs="Calibri"/>
          <w:noProof/>
        </w:rPr>
      </w:pPr>
      <w:r w:rsidRPr="00FB0F7D">
        <w:rPr>
          <w:rFonts w:ascii="Calibri" w:hAnsi="Calibri" w:cs="Calibri"/>
          <w:noProof/>
        </w:rPr>
        <w:t xml:space="preserve">Spangler, A., Su, E.Y., Craft, A.M. and Cahan, P. 2018. A single cell transcriptional portrait of embryoid body differentiation and comparison to progenitors of the developing embryo. </w:t>
      </w:r>
      <w:r w:rsidRPr="00FB0F7D">
        <w:rPr>
          <w:rFonts w:ascii="Calibri" w:hAnsi="Calibri" w:cs="Calibri"/>
          <w:i/>
          <w:iCs/>
          <w:noProof/>
        </w:rPr>
        <w:t>Stem Cell Research</w:t>
      </w:r>
      <w:r w:rsidRPr="00FB0F7D">
        <w:rPr>
          <w:rFonts w:ascii="Calibri" w:hAnsi="Calibri" w:cs="Calibri"/>
          <w:noProof/>
        </w:rPr>
        <w:t xml:space="preserve"> 31, pp. 201–215.</w:t>
      </w:r>
    </w:p>
    <w:p w14:paraId="793F6581" w14:textId="1B5996EA" w:rsidR="00733D2C" w:rsidRDefault="00733D2C" w:rsidP="00FB0F7D">
      <w:pPr>
        <w:widowControl w:val="0"/>
        <w:autoSpaceDE w:val="0"/>
        <w:autoSpaceDN w:val="0"/>
        <w:adjustRightInd w:val="0"/>
      </w:pPr>
      <w:r>
        <w:fldChar w:fldCharType="end"/>
      </w:r>
    </w:p>
    <w:sectPr w:rsidR="00733D2C" w:rsidSect="000A1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7E5D90"/>
    <w:multiLevelType w:val="hybridMultilevel"/>
    <w:tmpl w:val="2FF41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97"/>
    <w:rsid w:val="00001E45"/>
    <w:rsid w:val="000446FD"/>
    <w:rsid w:val="000A1062"/>
    <w:rsid w:val="000C56CA"/>
    <w:rsid w:val="00127F23"/>
    <w:rsid w:val="001E55CB"/>
    <w:rsid w:val="002208BF"/>
    <w:rsid w:val="002D2BE5"/>
    <w:rsid w:val="0038634C"/>
    <w:rsid w:val="003B09D1"/>
    <w:rsid w:val="003C4C27"/>
    <w:rsid w:val="003F38A6"/>
    <w:rsid w:val="00446869"/>
    <w:rsid w:val="004B6FEF"/>
    <w:rsid w:val="00527F6A"/>
    <w:rsid w:val="00531BD8"/>
    <w:rsid w:val="00540B2B"/>
    <w:rsid w:val="00557B01"/>
    <w:rsid w:val="005B7918"/>
    <w:rsid w:val="00601F4A"/>
    <w:rsid w:val="00656A45"/>
    <w:rsid w:val="00656C90"/>
    <w:rsid w:val="0065729D"/>
    <w:rsid w:val="006A1E17"/>
    <w:rsid w:val="006D35CB"/>
    <w:rsid w:val="00733D2C"/>
    <w:rsid w:val="007C5C41"/>
    <w:rsid w:val="007D51A8"/>
    <w:rsid w:val="007E6E4B"/>
    <w:rsid w:val="00823FDD"/>
    <w:rsid w:val="0084560E"/>
    <w:rsid w:val="00894ACF"/>
    <w:rsid w:val="008B41BB"/>
    <w:rsid w:val="008C5297"/>
    <w:rsid w:val="00935127"/>
    <w:rsid w:val="00976929"/>
    <w:rsid w:val="00A96F89"/>
    <w:rsid w:val="00B17D92"/>
    <w:rsid w:val="00B62DEE"/>
    <w:rsid w:val="00B90E0B"/>
    <w:rsid w:val="00BB1F9B"/>
    <w:rsid w:val="00E12453"/>
    <w:rsid w:val="00E12495"/>
    <w:rsid w:val="00EB3DAB"/>
    <w:rsid w:val="00ED1E55"/>
    <w:rsid w:val="00F71928"/>
    <w:rsid w:val="00FB07B7"/>
    <w:rsid w:val="00FB0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12B13"/>
  <w15:chartTrackingRefBased/>
  <w15:docId w15:val="{6EB6EA12-7E5C-2B47-B9AF-E1F5CA10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C8647-18E9-4E41-9E26-5144A9F4C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2020-03-20T14:33:00Z</dcterms:created>
  <dcterms:modified xsi:type="dcterms:W3CDTF">2020-04-16T18:53:00Z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Id">
    <vt:lpwstr>http://f1000research.com/style/f1000research</vt:lpwstr>
  </property>
  <property fmtid="{D5CDD505-2E9C-101B-9397-08002B2CF9AE}" pid="3" name="InsertAsFootnote">
    <vt:lpwstr>0</vt:lpwstr>
  </property>
</Properties>
</file>