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19B3" w:rsidRDefault="00482AE4">
      <w:pPr>
        <w:spacing w:after="80"/>
        <w:jc w:val="center"/>
      </w:pPr>
      <w:r>
        <w:rPr>
          <w:b/>
          <w:bCs/>
          <w:sz w:val="48"/>
          <w:szCs w:val="48"/>
        </w:rPr>
        <w:t>Cross-Modal Attention Mechanism for Disease Prediction: Fusing Clinical Text with Vital Sign Measurements</w:t>
      </w:r>
    </w:p>
    <w:p w:rsidR="00B019B3" w:rsidRDefault="00482AE4">
      <w:pPr>
        <w:spacing w:before="60" w:after="40"/>
        <w:jc w:val="center"/>
      </w:pPr>
      <w:r>
        <w:rPr>
          <w:sz w:val="22"/>
          <w:szCs w:val="22"/>
        </w:rPr>
        <w:t xml:space="preserve">Syed Abdul Basit, </w:t>
      </w:r>
      <w:proofErr w:type="spellStart"/>
      <w:r>
        <w:rPr>
          <w:sz w:val="22"/>
          <w:szCs w:val="22"/>
        </w:rPr>
        <w:t>Rida</w:t>
      </w:r>
      <w:proofErr w:type="spellEnd"/>
      <w:r>
        <w:rPr>
          <w:sz w:val="22"/>
          <w:szCs w:val="22"/>
        </w:rPr>
        <w:t xml:space="preserve">, </w:t>
      </w:r>
      <w:proofErr w:type="spellStart"/>
      <w:r>
        <w:rPr>
          <w:sz w:val="22"/>
          <w:szCs w:val="22"/>
        </w:rPr>
        <w:t>Berkay</w:t>
      </w:r>
      <w:proofErr w:type="spellEnd"/>
      <w:r>
        <w:rPr>
          <w:sz w:val="22"/>
          <w:szCs w:val="22"/>
        </w:rPr>
        <w:t>, Melisa</w:t>
      </w:r>
    </w:p>
    <w:p w:rsidR="00B019B3" w:rsidRDefault="00482AE4">
      <w:pPr>
        <w:spacing w:after="20"/>
        <w:jc w:val="center"/>
      </w:pPr>
      <w:r>
        <w:rPr>
          <w:i/>
          <w:iCs/>
        </w:rPr>
        <w:t>Department of Artificial Intelligence, OKAN University, Istanbul, Turkey</w:t>
      </w:r>
    </w:p>
    <w:p w:rsidR="00B019B3" w:rsidRDefault="00482AE4">
      <w:pPr>
        <w:spacing w:after="120"/>
        <w:jc w:val="center"/>
      </w:pPr>
      <w:r>
        <w:rPr>
          <w:i/>
          <w:iCs/>
        </w:rPr>
        <w:t>{</w:t>
      </w:r>
      <w:proofErr w:type="spellStart"/>
      <w:r>
        <w:rPr>
          <w:i/>
          <w:iCs/>
        </w:rPr>
        <w:t>syedabdulbasit</w:t>
      </w:r>
      <w:proofErr w:type="spellEnd"/>
      <w:r>
        <w:rPr>
          <w:i/>
          <w:iCs/>
        </w:rPr>
        <w:t xml:space="preserve">, </w:t>
      </w:r>
      <w:proofErr w:type="spellStart"/>
      <w:r>
        <w:rPr>
          <w:i/>
          <w:iCs/>
        </w:rPr>
        <w:t>rida</w:t>
      </w:r>
      <w:proofErr w:type="spellEnd"/>
      <w:r>
        <w:rPr>
          <w:i/>
          <w:iCs/>
        </w:rPr>
        <w:t xml:space="preserve">, </w:t>
      </w:r>
      <w:proofErr w:type="spellStart"/>
      <w:r>
        <w:rPr>
          <w:i/>
          <w:iCs/>
        </w:rPr>
        <w:t>berkay</w:t>
      </w:r>
      <w:proofErr w:type="spellEnd"/>
      <w:r>
        <w:rPr>
          <w:i/>
          <w:iCs/>
        </w:rPr>
        <w:t xml:space="preserve">, </w:t>
      </w:r>
      <w:proofErr w:type="spellStart"/>
      <w:r>
        <w:rPr>
          <w:i/>
          <w:iCs/>
        </w:rPr>
        <w:t>melisa</w:t>
      </w:r>
      <w:proofErr w:type="spellEnd"/>
      <w:r>
        <w:rPr>
          <w:i/>
          <w:iCs/>
        </w:rPr>
        <w:t>}@okan.edu.tr</w:t>
      </w:r>
    </w:p>
    <w:p w:rsidR="00B019B3" w:rsidRDefault="00B019B3">
      <w:pPr>
        <w:pBdr>
          <w:bottom w:val="single" w:sz="6" w:space="1" w:color="000000"/>
        </w:pBdr>
        <w:spacing w:after="60"/>
      </w:pPr>
    </w:p>
    <w:p w:rsidR="00B019B3" w:rsidRDefault="00B019B3">
      <w:pPr>
        <w:sectPr w:rsidR="00B019B3">
          <w:type w:val="continuous"/>
          <w:pgSz w:w="12240" w:h="15840"/>
          <w:pgMar w:top="864" w:right="1008" w:bottom="1008" w:left="1008" w:header="708" w:footer="708" w:gutter="0"/>
          <w:cols w:space="720"/>
          <w:docGrid w:linePitch="360"/>
        </w:sectPr>
      </w:pPr>
    </w:p>
    <w:p w:rsidR="00B019B3" w:rsidRDefault="00482AE4">
      <w:pPr>
        <w:spacing w:after="60"/>
        <w:jc w:val="both"/>
      </w:pPr>
      <w:r>
        <w:rPr>
          <w:b/>
          <w:bCs/>
          <w:sz w:val="18"/>
          <w:szCs w:val="18"/>
        </w:rPr>
        <w:lastRenderedPageBreak/>
        <w:t xml:space="preserve">Abstract </w:t>
      </w:r>
      <w:r>
        <w:rPr>
          <w:sz w:val="18"/>
          <w:szCs w:val="18"/>
        </w:rPr>
        <w:t>Physicians routinely integrate multiple infor</w:t>
      </w:r>
      <w:r w:rsidR="002C6CF1">
        <w:rPr>
          <w:sz w:val="18"/>
          <w:szCs w:val="18"/>
        </w:rPr>
        <w:t xml:space="preserve">mation sources during diagnosis </w:t>
      </w:r>
      <w:r>
        <w:rPr>
          <w:sz w:val="18"/>
          <w:szCs w:val="18"/>
        </w:rPr>
        <w:t>they listen attentively to patient-reported symptoms while concurrently monitoring physiological vit</w:t>
      </w:r>
      <w:r>
        <w:rPr>
          <w:sz w:val="18"/>
          <w:szCs w:val="18"/>
        </w:rPr>
        <w:t>al signs. Despite this clinical reality, the majority of automated systems continue to process these data streams in isolation. This paper presents a cross-modal attention architecture designed to mirror integrative clinical reasoning by jointly learning t</w:t>
      </w:r>
      <w:r>
        <w:rPr>
          <w:sz w:val="18"/>
          <w:szCs w:val="18"/>
        </w:rPr>
        <w:t xml:space="preserve">he correlations between natural language symptom narratives and structured physiological measurements. The proposed system employs </w:t>
      </w:r>
      <w:proofErr w:type="spellStart"/>
      <w:r>
        <w:rPr>
          <w:sz w:val="18"/>
          <w:szCs w:val="18"/>
        </w:rPr>
        <w:t>BioClinicalBERT</w:t>
      </w:r>
      <w:proofErr w:type="spellEnd"/>
      <w:r>
        <w:rPr>
          <w:sz w:val="18"/>
          <w:szCs w:val="18"/>
        </w:rPr>
        <w:t xml:space="preserve"> for encoding symptom text and a </w:t>
      </w:r>
      <w:proofErr w:type="spellStart"/>
      <w:r>
        <w:rPr>
          <w:sz w:val="18"/>
          <w:szCs w:val="18"/>
        </w:rPr>
        <w:t>TabNet</w:t>
      </w:r>
      <w:proofErr w:type="spellEnd"/>
      <w:r>
        <w:rPr>
          <w:sz w:val="18"/>
          <w:szCs w:val="18"/>
        </w:rPr>
        <w:t>-inspired module for vital sign representation. These parallel encoders</w:t>
      </w:r>
      <w:r>
        <w:rPr>
          <w:sz w:val="18"/>
          <w:szCs w:val="18"/>
        </w:rPr>
        <w:t xml:space="preserve"> are coupled through bidirectional cross-modal attention layers, enabling each modality to selectively highlight the most diagnostically relevant aspects of the other. Evaluated on a</w:t>
      </w:r>
      <w:r>
        <w:t xml:space="preserve"> </w:t>
      </w:r>
      <w:bookmarkStart w:id="0" w:name="_GoBack"/>
      <w:bookmarkEnd w:id="0"/>
      <w:r>
        <w:rPr>
          <w:sz w:val="18"/>
          <w:szCs w:val="18"/>
        </w:rPr>
        <w:t xml:space="preserve"> controlled synthetic dataset of 5,000 patient cases spanning ten disease </w:t>
      </w:r>
      <w:r>
        <w:rPr>
          <w:sz w:val="18"/>
          <w:szCs w:val="18"/>
        </w:rPr>
        <w:t xml:space="preserve">categories, the architecture achieved perfect classification accuracy with sub-200 </w:t>
      </w:r>
      <w:proofErr w:type="spellStart"/>
      <w:r>
        <w:rPr>
          <w:sz w:val="18"/>
          <w:szCs w:val="18"/>
        </w:rPr>
        <w:t>ms</w:t>
      </w:r>
      <w:proofErr w:type="spellEnd"/>
      <w:r>
        <w:rPr>
          <w:sz w:val="18"/>
          <w:szCs w:val="18"/>
        </w:rPr>
        <w:t xml:space="preserve"> inference latency. It outperformed single-modality baselines by more than 21 percentage points and naive feature concatenation by approximately 16 percentage points. Alth</w:t>
      </w:r>
      <w:r>
        <w:rPr>
          <w:sz w:val="18"/>
          <w:szCs w:val="18"/>
        </w:rPr>
        <w:t>ough these results reflect idealized experimental conditions, they provide strong evid</w:t>
      </w:r>
      <w:r>
        <w:rPr>
          <w:sz w:val="18"/>
          <w:szCs w:val="18"/>
        </w:rPr>
        <w:t>ence for the diagnostic potential of cross-modal attention in clinical decision support.</w:t>
      </w:r>
    </w:p>
    <w:p w:rsidR="00B019B3" w:rsidRDefault="00482AE4">
      <w:pPr>
        <w:spacing w:after="120"/>
        <w:jc w:val="both"/>
      </w:pPr>
      <w:r>
        <w:rPr>
          <w:i/>
          <w:iCs/>
          <w:sz w:val="18"/>
          <w:szCs w:val="18"/>
        </w:rPr>
        <w:t xml:space="preserve">Index Terms </w:t>
      </w:r>
      <w:r>
        <w:rPr>
          <w:sz w:val="18"/>
          <w:szCs w:val="18"/>
        </w:rPr>
        <w:t>Medical artificial intelligence, multimodal fusion, attention mechani</w:t>
      </w:r>
      <w:r>
        <w:rPr>
          <w:sz w:val="18"/>
          <w:szCs w:val="18"/>
        </w:rPr>
        <w:t xml:space="preserve">sms, clinical decision support, disease classification, </w:t>
      </w:r>
      <w:proofErr w:type="spellStart"/>
      <w:r>
        <w:rPr>
          <w:sz w:val="18"/>
          <w:szCs w:val="18"/>
        </w:rPr>
        <w:t>BioClinicalBERT</w:t>
      </w:r>
      <w:proofErr w:type="spellEnd"/>
      <w:r>
        <w:rPr>
          <w:sz w:val="18"/>
          <w:szCs w:val="18"/>
        </w:rPr>
        <w:t>, deep learning for healthcare.</w:t>
      </w:r>
    </w:p>
    <w:p w:rsidR="00B019B3" w:rsidRDefault="00B019B3">
      <w:pPr>
        <w:pBdr>
          <w:bottom w:val="single" w:sz="4" w:space="1" w:color="000000"/>
        </w:pBdr>
        <w:spacing w:after="80"/>
      </w:pPr>
    </w:p>
    <w:p w:rsidR="00B019B3" w:rsidRDefault="00482AE4">
      <w:pPr>
        <w:spacing w:before="120" w:after="80"/>
        <w:jc w:val="center"/>
      </w:pPr>
      <w:r>
        <w:rPr>
          <w:b/>
          <w:bCs/>
        </w:rPr>
        <w:t>I. Introduction</w:t>
      </w:r>
    </w:p>
    <w:p w:rsidR="00B019B3" w:rsidRDefault="00482AE4">
      <w:pPr>
        <w:spacing w:after="40"/>
        <w:ind w:firstLine="360"/>
        <w:jc w:val="both"/>
      </w:pPr>
      <w:r>
        <w:t xml:space="preserve">Clinical diagnosis is inherently multimodal. Experienced physicians do not assess symptoms or vital signs in isolation; they synthesize </w:t>
      </w:r>
      <w:r>
        <w:t>both streams simultaneously to construct a differential diagnosis. A patient reporting chest pain warrants a very different clinical response when vital signs are entirely normal compared to when they present with concurrent tachycardia and hypertension. T</w:t>
      </w:r>
      <w:r>
        <w:t>his integrative mode of reasoning is fundamental to sound clinical judgment, yet it remains largely absent from contemporary automated diagnostic tools.</w:t>
      </w:r>
    </w:p>
    <w:p w:rsidR="00B019B3" w:rsidRDefault="00482AE4">
      <w:pPr>
        <w:spacing w:after="40"/>
        <w:ind w:firstLine="360"/>
        <w:jc w:val="both"/>
      </w:pPr>
      <w:r>
        <w:t xml:space="preserve">Most existing machine learning systems for medical diagnosis are built around a single data modality </w:t>
      </w:r>
      <w:r>
        <w:t>ei</w:t>
      </w:r>
      <w:r>
        <w:t>ther free-text clinical notes or structured numerical measurements. Systems that operate solely on symptom descriptions may overlook physiological anomalies that patients fail to notice or articulate. Conversely, models trained exclusively on vital signs c</w:t>
      </w:r>
      <w:r>
        <w:t xml:space="preserve">annot resolve ambiguities that arise when different conditions share similar numerical profiles. Elevated body temperature, for instance, may indicate influenza, pneumonia, or several other conditions; resolving such ambiguity </w:t>
      </w:r>
      <w:r>
        <w:lastRenderedPageBreak/>
        <w:t>frequently requires contextua</w:t>
      </w:r>
      <w:r>
        <w:t>l information available only in the symptom narrative.</w:t>
      </w:r>
    </w:p>
    <w:p w:rsidR="00B019B3" w:rsidRDefault="00482AE4">
      <w:pPr>
        <w:spacing w:after="40"/>
        <w:ind w:firstLine="360"/>
        <w:jc w:val="both"/>
      </w:pPr>
      <w:r>
        <w:t xml:space="preserve">Prior work has explored combining both modalities through feature concatenation [1], which, while superior to single-modality approaches, does not explicitly model the structured relationships between </w:t>
      </w:r>
      <w:r>
        <w:t>symptom text and vital sign data. This paper addresses that limitation by introducing a bidirectional cross-modal attention mechanism that learns which symptom features become most informative given a patient’s physiological state, and conversely, which ph</w:t>
      </w:r>
      <w:r>
        <w:t>ysiological measurements become most salient given the reported symptoms.</w:t>
      </w:r>
    </w:p>
    <w:p w:rsidR="00B019B3" w:rsidRDefault="00482AE4">
      <w:pPr>
        <w:spacing w:before="80" w:after="40"/>
        <w:jc w:val="both"/>
      </w:pPr>
      <w:r>
        <w:rPr>
          <w:i/>
          <w:iCs/>
        </w:rPr>
        <w:t>A. Contributions</w:t>
      </w:r>
    </w:p>
    <w:p w:rsidR="00B019B3" w:rsidRDefault="00482AE4">
      <w:pPr>
        <w:spacing w:after="40"/>
        <w:ind w:firstLine="360"/>
        <w:jc w:val="both"/>
      </w:pPr>
      <w:r>
        <w:t>The principal contributions of this work are as follows:</w:t>
      </w:r>
    </w:p>
    <w:p w:rsidR="00B019B3" w:rsidRDefault="00482AE4">
      <w:pPr>
        <w:spacing w:after="40"/>
        <w:ind w:left="200" w:hanging="200"/>
        <w:jc w:val="both"/>
      </w:pPr>
      <w:r>
        <w:t>1)</w:t>
      </w:r>
      <w:r>
        <w:tab/>
        <w:t>A bidirectional cross-modal attention framework for medical data fusion that enables mutual information e</w:t>
      </w:r>
      <w:r>
        <w:t>xchange between the symptom text and vital sign modalities.</w:t>
      </w:r>
    </w:p>
    <w:p w:rsidR="00B019B3" w:rsidRDefault="00482AE4">
      <w:pPr>
        <w:spacing w:after="40"/>
        <w:ind w:left="200" w:hanging="200"/>
        <w:jc w:val="both"/>
      </w:pPr>
      <w:r>
        <w:t>2)</w:t>
      </w:r>
      <w:r>
        <w:tab/>
        <w:t>An effective methodology for combining domain-specific language models (</w:t>
      </w:r>
      <w:proofErr w:type="spellStart"/>
      <w:r>
        <w:t>BioClinicalBERT</w:t>
      </w:r>
      <w:proofErr w:type="spellEnd"/>
      <w:r>
        <w:t>) with attention-based tabular encoders for heterogeneous clinical data.</w:t>
      </w:r>
    </w:p>
    <w:p w:rsidR="00B019B3" w:rsidRDefault="00482AE4">
      <w:pPr>
        <w:spacing w:after="40"/>
        <w:ind w:left="200" w:hanging="200"/>
        <w:jc w:val="both"/>
      </w:pPr>
      <w:r>
        <w:t>3)</w:t>
      </w:r>
      <w:r>
        <w:tab/>
        <w:t>Experimental evidence demonstrating that learned cross-modal attention substantially outperforms both single-modality baselines and naive multimodal fusion.</w:t>
      </w:r>
    </w:p>
    <w:p w:rsidR="00B019B3" w:rsidRDefault="00482AE4">
      <w:pPr>
        <w:spacing w:after="40"/>
        <w:ind w:left="200" w:hanging="200"/>
        <w:jc w:val="both"/>
      </w:pPr>
      <w:r>
        <w:t>4)</w:t>
      </w:r>
      <w:r>
        <w:tab/>
        <w:t>Validation that the architecture achieves real-time inference latency compatible with point-o</w:t>
      </w:r>
      <w:r>
        <w:t>f-care clinical deployment.</w:t>
      </w:r>
    </w:p>
    <w:p w:rsidR="00B019B3" w:rsidRDefault="00B019B3"/>
    <w:p w:rsidR="00B019B3" w:rsidRDefault="00482AE4">
      <w:pPr>
        <w:spacing w:before="120" w:after="80"/>
        <w:jc w:val="center"/>
      </w:pPr>
      <w:r>
        <w:rPr>
          <w:b/>
          <w:bCs/>
        </w:rPr>
        <w:t>II. Related Work</w:t>
      </w:r>
    </w:p>
    <w:p w:rsidR="00B019B3" w:rsidRDefault="00482AE4">
      <w:pPr>
        <w:spacing w:before="80" w:after="40"/>
        <w:jc w:val="both"/>
      </w:pPr>
      <w:r>
        <w:rPr>
          <w:i/>
          <w:iCs/>
        </w:rPr>
        <w:t>A. Clinical Language Understanding</w:t>
      </w:r>
    </w:p>
    <w:p w:rsidR="00B019B3" w:rsidRDefault="00482AE4">
      <w:pPr>
        <w:spacing w:after="40"/>
        <w:ind w:firstLine="360"/>
        <w:jc w:val="both"/>
      </w:pPr>
      <w:r>
        <w:t>Medical language presents challenges that general-purpose language models are ill-equipped to handle. Clinical documentation is dense with domain-specific abbreviations, non-s</w:t>
      </w:r>
      <w:r>
        <w:t xml:space="preserve">tandard syntax, and highly specialized terminology. </w:t>
      </w:r>
      <w:proofErr w:type="spellStart"/>
      <w:r>
        <w:t>BioClinicalBERT</w:t>
      </w:r>
      <w:proofErr w:type="spellEnd"/>
      <w:r>
        <w:t xml:space="preserve"> [2], pre-trained on large corpora of hospital clinical notes, consistently outperforms general-domain models on medical natural language processing benchmarks. </w:t>
      </w:r>
      <w:proofErr w:type="spellStart"/>
      <w:r>
        <w:t>ClinicalBERT</w:t>
      </w:r>
      <w:proofErr w:type="spellEnd"/>
      <w:r>
        <w:t xml:space="preserve"> [3] and </w:t>
      </w:r>
      <w:proofErr w:type="spellStart"/>
      <w:r>
        <w:t>BlueBER</w:t>
      </w:r>
      <w:r>
        <w:t>T</w:t>
      </w:r>
      <w:proofErr w:type="spellEnd"/>
      <w:r>
        <w:t xml:space="preserve"> [4] corroborate the importance of domain-specific pre-training for robust medical text understanding. These models share a common limitation, however: they process textual input without reference to the accompanying physiological measurements that freque</w:t>
      </w:r>
      <w:r>
        <w:t>ntly determine how a given symptom should be interpreted.</w:t>
      </w:r>
    </w:p>
    <w:p w:rsidR="00B019B3" w:rsidRDefault="00482AE4">
      <w:pPr>
        <w:spacing w:before="80" w:after="40"/>
        <w:jc w:val="both"/>
      </w:pPr>
      <w:r>
        <w:rPr>
          <w:i/>
          <w:iCs/>
        </w:rPr>
        <w:t>B. Structured Vital Sign Modeling</w:t>
      </w:r>
    </w:p>
    <w:p w:rsidR="00B019B3" w:rsidRDefault="00482AE4">
      <w:pPr>
        <w:spacing w:after="40"/>
        <w:ind w:firstLine="360"/>
        <w:jc w:val="both"/>
      </w:pPr>
      <w:r>
        <w:lastRenderedPageBreak/>
        <w:t xml:space="preserve">Despite their low dimensionality, vital sign measurements encode complex diagnostic patterns that benefit from sophisticated modeling. </w:t>
      </w:r>
      <w:proofErr w:type="spellStart"/>
      <w:r>
        <w:t>TabNet</w:t>
      </w:r>
      <w:proofErr w:type="spellEnd"/>
      <w:r>
        <w:t xml:space="preserve"> [5] introduced sequent</w:t>
      </w:r>
      <w:r>
        <w:t>ial attention for tabular data, enabling feature selection conditioned on individual inputs rather than on global statistics. Classical ensemble methods such as random forests [6] and gradient-boosted trees [7] treat features independently and cannot model</w:t>
      </w:r>
      <w:r>
        <w:t xml:space="preserve"> conditional inter-feature relationships. Deep learning approaches improve predictive accuracy but often sacrifice the interpretability required for clinical adoption.</w:t>
      </w:r>
    </w:p>
    <w:p w:rsidR="00B019B3" w:rsidRDefault="00482AE4">
      <w:pPr>
        <w:spacing w:before="80" w:after="40"/>
        <w:jc w:val="both"/>
      </w:pPr>
      <w:r>
        <w:rPr>
          <w:i/>
          <w:iCs/>
        </w:rPr>
        <w:t>C. Multimodal Fusion in Healthcare</w:t>
      </w:r>
    </w:p>
    <w:p w:rsidR="00B019B3" w:rsidRDefault="00482AE4">
      <w:pPr>
        <w:spacing w:after="40"/>
        <w:ind w:firstLine="360"/>
        <w:jc w:val="both"/>
      </w:pPr>
      <w:r>
        <w:t>The dominant paradigm in multimodal medical AI combin</w:t>
      </w:r>
      <w:r>
        <w:t xml:space="preserve">es imaging data with structured clinical variables [8] or radiology images with clinical notes [9]. For text-tabular fusion specifically, two strategies prevail: early fusion, which concatenates modality-specific features prior to classification [10], and </w:t>
      </w:r>
      <w:r>
        <w:t>late fusion, which combines independent modality predictions at inference time [11]. Neither strategy explicitly models inter-modal dependencies, which is a fundamental limitation when the diagnostic value of each modality depends on the state of the other</w:t>
      </w:r>
      <w:r>
        <w:t xml:space="preserve">. Cross-modal attention has demonstrated strong performance in vision-language tasks where image regions and textual tokens attend </w:t>
      </w:r>
      <w:proofErr w:type="spellStart"/>
      <w:r>
        <w:t>bidirectionally</w:t>
      </w:r>
      <w:proofErr w:type="spellEnd"/>
      <w:r>
        <w:t xml:space="preserve"> to one another [12]. The present paper adapts this paradigm to the clinical text-tabular setting, representin</w:t>
      </w:r>
      <w:r>
        <w:t xml:space="preserve">g </w:t>
      </w:r>
      <w:r>
        <w:t xml:space="preserve">to the best of the authors’ knowledge </w:t>
      </w:r>
      <w:r>
        <w:t>the first application of bidirectional cross-modal attention for disease diagnosis from paired symptom narratives and vital sign data.</w:t>
      </w:r>
    </w:p>
    <w:p w:rsidR="00B019B3" w:rsidRDefault="00B019B3"/>
    <w:p w:rsidR="00B019B3" w:rsidRDefault="00482AE4">
      <w:pPr>
        <w:spacing w:before="120" w:after="80"/>
        <w:jc w:val="center"/>
      </w:pPr>
      <w:r>
        <w:rPr>
          <w:b/>
          <w:bCs/>
        </w:rPr>
        <w:t>III. Methodology</w:t>
      </w:r>
    </w:p>
    <w:p w:rsidR="00B019B3" w:rsidRDefault="00482AE4">
      <w:pPr>
        <w:spacing w:before="80" w:after="40"/>
        <w:jc w:val="both"/>
      </w:pPr>
      <w:r>
        <w:rPr>
          <w:i/>
          <w:iCs/>
        </w:rPr>
        <w:t>A. Problem Formulation</w:t>
      </w:r>
    </w:p>
    <w:p w:rsidR="00B019B3" w:rsidRDefault="00482AE4">
      <w:pPr>
        <w:spacing w:after="40"/>
        <w:ind w:firstLine="360"/>
        <w:jc w:val="both"/>
      </w:pPr>
      <w:r>
        <w:t>Let S denote a free-text symptom description provided by or on behalf of a patient, and let V ∈ ℝ⁹ denote a vector of nine physiological measurements, including both directly observed vital signs and derived hemodynamic indices. The objective is to learn a</w:t>
      </w:r>
      <w:r>
        <w:t xml:space="preserve"> mapping </w:t>
      </w:r>
      <w:proofErr w:type="gramStart"/>
      <w:r>
        <w:t>f(</w:t>
      </w:r>
      <w:proofErr w:type="gramEnd"/>
      <w:r>
        <w:t>S, V) → {1, …, C} that correctly assigns each patient presentation to one of C disease categories. The key modeling challenge lies not in processing either modality independently, but in learning how symptoms and vital signs jointly constrain th</w:t>
      </w:r>
      <w:r>
        <w:t>e diagnostic hypothesis space. Identical symptoms may implicate different conditions depending on the accompanying physiology, and identical vital sign patterns may be clinically benign or alarming depending on what the patient reports.</w:t>
      </w:r>
    </w:p>
    <w:p w:rsidR="00B019B3" w:rsidRDefault="00482AE4">
      <w:pPr>
        <w:spacing w:before="80" w:after="40"/>
        <w:jc w:val="both"/>
      </w:pPr>
      <w:r>
        <w:rPr>
          <w:i/>
          <w:iCs/>
        </w:rPr>
        <w:t>B. System Architect</w:t>
      </w:r>
      <w:r>
        <w:rPr>
          <w:i/>
          <w:iCs/>
        </w:rPr>
        <w:t>ure</w:t>
      </w:r>
    </w:p>
    <w:p w:rsidR="00B019B3" w:rsidRDefault="00482AE4">
      <w:pPr>
        <w:spacing w:after="40"/>
        <w:ind w:firstLine="360"/>
        <w:jc w:val="both"/>
      </w:pPr>
      <w:r>
        <w:t xml:space="preserve">The proposed architecture comprises four functional components: (1) a symptom encoder based on </w:t>
      </w:r>
      <w:proofErr w:type="spellStart"/>
      <w:r>
        <w:t>BioClinicalBERT</w:t>
      </w:r>
      <w:proofErr w:type="spellEnd"/>
      <w:r>
        <w:t xml:space="preserve">, (2) a vital sign encoder inspired by </w:t>
      </w:r>
      <w:proofErr w:type="spellStart"/>
      <w:r>
        <w:t>TabNet</w:t>
      </w:r>
      <w:proofErr w:type="spellEnd"/>
      <w:r>
        <w:t>, (3) bidirectional cross-modal attention layers, and (4) a fusion classifier that produces the f</w:t>
      </w:r>
      <w:r>
        <w:t>inal disease probability distribution. The symptom and vital sign pathways process their respective inputs in parallel and exchange information through the attention mechanism before their representations are merged for classification.</w:t>
      </w:r>
    </w:p>
    <w:p w:rsidR="00B019B3" w:rsidRDefault="00482AE4">
      <w:pPr>
        <w:spacing w:before="80" w:after="40"/>
        <w:jc w:val="both"/>
      </w:pPr>
      <w:r>
        <w:rPr>
          <w:i/>
          <w:iCs/>
        </w:rPr>
        <w:t>C. Symptom Encoder</w:t>
      </w:r>
    </w:p>
    <w:p w:rsidR="00B019B3" w:rsidRDefault="00482AE4">
      <w:pPr>
        <w:spacing w:after="40"/>
        <w:ind w:firstLine="360"/>
        <w:jc w:val="both"/>
      </w:pPr>
      <w:r>
        <w:t>S</w:t>
      </w:r>
      <w:r>
        <w:t xml:space="preserve">ymptom descriptions are encoded using the pre-trained </w:t>
      </w:r>
      <w:proofErr w:type="spellStart"/>
      <w:r>
        <w:t>BioClinicalBERT</w:t>
      </w:r>
      <w:proofErr w:type="spellEnd"/>
      <w:r>
        <w:t xml:space="preserve"> model. Input text is tokenized using the </w:t>
      </w:r>
      <w:r>
        <w:lastRenderedPageBreak/>
        <w:t xml:space="preserve">model’s </w:t>
      </w:r>
      <w:proofErr w:type="spellStart"/>
      <w:r>
        <w:t>WordPiece</w:t>
      </w:r>
      <w:proofErr w:type="spellEnd"/>
      <w:r>
        <w:t xml:space="preserve"> vocabulary, which handles clinical abbreviations and specialist terminology. Sequences are truncated or padded to a maximum len</w:t>
      </w:r>
      <w:r>
        <w:t>gth of 128 tokens. The 768-dimensional embedding associated with the special [CLS] token serves as the holistic representation of the symptom description. A dropout layer with probability 0.10 is applied to this embedding to mitigate overfitting during fin</w:t>
      </w:r>
      <w:r>
        <w:t>e-tuning.</w:t>
      </w:r>
    </w:p>
    <w:p w:rsidR="00B019B3" w:rsidRDefault="00482AE4">
      <w:pPr>
        <w:spacing w:before="80" w:after="40"/>
        <w:jc w:val="both"/>
      </w:pPr>
      <w:r>
        <w:rPr>
          <w:i/>
          <w:iCs/>
        </w:rPr>
        <w:t>D. Vital Sign Encoder</w:t>
      </w:r>
    </w:p>
    <w:p w:rsidR="00B019B3" w:rsidRDefault="00482AE4">
      <w:pPr>
        <w:spacing w:after="40"/>
        <w:ind w:firstLine="360"/>
        <w:jc w:val="both"/>
      </w:pPr>
      <w:r>
        <w:t xml:space="preserve">The nine-dimensional vital sign vector passes through a </w:t>
      </w:r>
      <w:proofErr w:type="spellStart"/>
      <w:r>
        <w:t>TabNet</w:t>
      </w:r>
      <w:proofErr w:type="spellEnd"/>
      <w:r>
        <w:t xml:space="preserve">-inspired encoder. An initial batch normalization layer standardizes inputs across the training batch. Two sequential transformation blocks </w:t>
      </w:r>
      <w:r>
        <w:t>each comprising a line</w:t>
      </w:r>
      <w:r>
        <w:t xml:space="preserve">ar projection to 64 units, a </w:t>
      </w:r>
      <w:proofErr w:type="spellStart"/>
      <w:r>
        <w:t>ReLU</w:t>
      </w:r>
      <w:proofErr w:type="spellEnd"/>
      <w:r>
        <w:t xml:space="preserve"> nonlinearity, and batch normalization </w:t>
      </w:r>
      <w:r>
        <w:t>progressively extract abstract physiological representations. A final projection maps these to 128 dimensions, matching the dimensionality used by the cross-modal attention module. Thi</w:t>
      </w:r>
      <w:r>
        <w:t>s compact encoding captures clinically meaningful patterns such as the co-occurrence of fever and tachycardia or the dissociation between elevated temperature and normal heart rate.</w:t>
      </w:r>
    </w:p>
    <w:p w:rsidR="00B019B3" w:rsidRDefault="00482AE4">
      <w:pPr>
        <w:spacing w:before="80" w:after="40"/>
        <w:jc w:val="both"/>
      </w:pPr>
      <w:r>
        <w:rPr>
          <w:i/>
          <w:iCs/>
        </w:rPr>
        <w:t>E. Bidirectional Cross-Modal Attention</w:t>
      </w:r>
    </w:p>
    <w:p w:rsidR="00B019B3" w:rsidRDefault="00482AE4">
      <w:pPr>
        <w:spacing w:after="40"/>
        <w:ind w:firstLine="360"/>
        <w:jc w:val="both"/>
      </w:pPr>
      <w:r>
        <w:t>The cross-modal attention mechanism</w:t>
      </w:r>
      <w:r>
        <w:t xml:space="preserve"> models inter-modal relationships simultaneously in both directions. For symptom-to-vital attention, a learned linear projection maps the 768-dimensional symptom embedding to a 128-dimensional query vector. The vital sign embedding serves as both key and v</w:t>
      </w:r>
      <w:r>
        <w:t xml:space="preserve">alue. Attention scores are computed as scaled dot products, normalized by the square root of the key dimensionality to stabilize gradients, and passed through a </w:t>
      </w:r>
      <w:proofErr w:type="spellStart"/>
      <w:r>
        <w:t>softmax</w:t>
      </w:r>
      <w:proofErr w:type="spellEnd"/>
      <w:r>
        <w:t xml:space="preserve"> function to yield a valid probability distribution over vital sign features. The result</w:t>
      </w:r>
      <w:r>
        <w:t>ing weighted sum produces an attended vital representation that reflects which physiological measurements are most salient given the reported symptoms.</w:t>
      </w:r>
    </w:p>
    <w:p w:rsidR="00B019B3" w:rsidRDefault="00482AE4">
      <w:pPr>
        <w:spacing w:after="40"/>
        <w:ind w:firstLine="360"/>
        <w:jc w:val="both"/>
      </w:pPr>
      <w:r>
        <w:t>Vital-to-symptom attention operates in parallel with reversed roles. The 128-dimensional vital embedding</w:t>
      </w:r>
      <w:r>
        <w:t xml:space="preserve"> is projected to 768 dimensions to form queries, while the symptom embedding provides keys and values. The same procedure yields an attended symptom representation reflecting which aspects of the narrative are most contextually relevant given the observed </w:t>
      </w:r>
      <w:r>
        <w:t>physiology. This bidirectional design captures the mutual diagnostic dependency between modalities: symptoms contextualize vital signs, while vital signs disambiguate among candidate symptom interpretations.</w:t>
      </w:r>
    </w:p>
    <w:p w:rsidR="00B019B3" w:rsidRDefault="00482AE4">
      <w:pPr>
        <w:spacing w:before="80" w:after="40"/>
        <w:jc w:val="both"/>
      </w:pPr>
      <w:r>
        <w:rPr>
          <w:i/>
          <w:iCs/>
        </w:rPr>
        <w:t>F. Fusion and Classification</w:t>
      </w:r>
    </w:p>
    <w:p w:rsidR="00B019B3" w:rsidRDefault="00482AE4">
      <w:pPr>
        <w:spacing w:after="40"/>
        <w:ind w:firstLine="360"/>
        <w:jc w:val="both"/>
      </w:pPr>
      <w:r>
        <w:t>Following the attention operations, four representations are available: the raw symptom embedding (768 dim), the attended vital representation (128 dim), the raw vital embedding (128 dim), and the attended symptom representation (768 dim). These are concat</w:t>
      </w:r>
      <w:r>
        <w:t xml:space="preserve">enated to form a 1,792-dimensional composite vector, preserving both original and cross-attended perspectives on the input. A two-layer feedforward network with hidden dimensions of 512 and 256, </w:t>
      </w:r>
      <w:proofErr w:type="spellStart"/>
      <w:r>
        <w:t>ReLU</w:t>
      </w:r>
      <w:proofErr w:type="spellEnd"/>
      <w:r>
        <w:t xml:space="preserve"> activations, and 20% dropout processes this composite. T</w:t>
      </w:r>
      <w:r>
        <w:t xml:space="preserve">he output layer projects to C logits, and a </w:t>
      </w:r>
      <w:proofErr w:type="spellStart"/>
      <w:r>
        <w:t>softmax</w:t>
      </w:r>
      <w:proofErr w:type="spellEnd"/>
      <w:r>
        <w:t xml:space="preserve"> transformation yields the categorical disease probability distribution. Training minimizes cross-entropy loss between predicted and ground-truth labels.</w:t>
      </w:r>
    </w:p>
    <w:p w:rsidR="00B019B3" w:rsidRDefault="00B019B3"/>
    <w:p w:rsidR="00B019B3" w:rsidRDefault="00482AE4">
      <w:pPr>
        <w:spacing w:before="120" w:after="80"/>
        <w:jc w:val="center"/>
      </w:pPr>
      <w:r>
        <w:rPr>
          <w:b/>
          <w:bCs/>
        </w:rPr>
        <w:t>IV. Experimental Setup</w:t>
      </w:r>
    </w:p>
    <w:p w:rsidR="00B019B3" w:rsidRDefault="00482AE4">
      <w:pPr>
        <w:spacing w:before="80" w:after="40"/>
        <w:jc w:val="both"/>
      </w:pPr>
      <w:r>
        <w:rPr>
          <w:i/>
          <w:iCs/>
        </w:rPr>
        <w:t>A. Dataset Construction</w:t>
      </w:r>
    </w:p>
    <w:p w:rsidR="00B019B3" w:rsidRDefault="00482AE4">
      <w:pPr>
        <w:spacing w:after="40"/>
        <w:ind w:firstLine="360"/>
        <w:jc w:val="both"/>
      </w:pPr>
      <w:r>
        <w:t>The</w:t>
      </w:r>
      <w:r>
        <w:t xml:space="preserve"> absence of large, publicly accessible datasets pairing symptom narratives with concurrent vital sign measurements motivated the construction of a controlled synthetic dataset for architectural validation. Five thousand patient cases were generated across </w:t>
      </w:r>
      <w:r>
        <w:t>ten disease categories: diabetes mellitus, hypertension, pneumonia, coronary heart disease, asthma, influenza, migraine, gastroenteritis, urinary tract infection, and generalized anxiety disorder. Each category comprised exactly 500 samples, eliminating cl</w:t>
      </w:r>
      <w:r>
        <w:t>ass imbalance as a confounding variable.</w:t>
      </w:r>
    </w:p>
    <w:p w:rsidR="00B019B3" w:rsidRDefault="00482AE4">
      <w:pPr>
        <w:spacing w:after="40"/>
        <w:ind w:firstLine="360"/>
        <w:jc w:val="both"/>
      </w:pPr>
      <w:r>
        <w:t>Symptom descriptions were generated from disease-specific templates with systematically varied phrasing, duration descriptors, and severity qualifiers to introduce linguistic diversity. Vital signs were sampled from</w:t>
      </w:r>
      <w:r>
        <w:t xml:space="preserve"> clinically grounded ranges derived from the medical literature. Three derived hemodynamic variables were additionally computed: pulse pressure (systolic minus diastolic), mean arterial pressure (diastolic plus one-third of pulse pressure), and shock index</w:t>
      </w:r>
      <w:r>
        <w:t xml:space="preserve"> (heart rate divided by systolic pressure). These derived features reveal hemodynamic patterns that individual raw measurements may obscure. The dataset was partitioned using stratified sampling into training (60%; n = 3,000), validation (20%; n = 1,000), </w:t>
      </w:r>
      <w:r>
        <w:t>and test (20%; n = 1,000) subsets. Vital sign features were standardized to zero mean and unit variance using statistics computed exclusively from the training partition.</w:t>
      </w:r>
    </w:p>
    <w:p w:rsidR="00B019B3" w:rsidRDefault="00482AE4">
      <w:pPr>
        <w:spacing w:before="80" w:after="40"/>
        <w:jc w:val="both"/>
      </w:pPr>
      <w:r>
        <w:rPr>
          <w:i/>
          <w:iCs/>
        </w:rPr>
        <w:t>B. Baselines</w:t>
      </w:r>
    </w:p>
    <w:p w:rsidR="00B019B3" w:rsidRDefault="00482AE4">
      <w:pPr>
        <w:spacing w:after="40"/>
        <w:ind w:firstLine="360"/>
        <w:jc w:val="both"/>
      </w:pPr>
      <w:r>
        <w:t>Three comparison systems were evaluated to isolate the contribution of c</w:t>
      </w:r>
      <w:r>
        <w:t xml:space="preserve">ross-modal attention. The vitals-only baseline applies a multilayer perceptron directly to the nine vital sign features. The text-only baseline fine-tunes </w:t>
      </w:r>
      <w:proofErr w:type="spellStart"/>
      <w:r>
        <w:t>BioClinicalBERT</w:t>
      </w:r>
      <w:proofErr w:type="spellEnd"/>
      <w:r>
        <w:t xml:space="preserve"> with a linear classification head. The simple concatenation baseline combines the </w:t>
      </w:r>
      <w:proofErr w:type="spellStart"/>
      <w:r>
        <w:t>Bio</w:t>
      </w:r>
      <w:r>
        <w:t>ClinicalBERT</w:t>
      </w:r>
      <w:proofErr w:type="spellEnd"/>
      <w:r>
        <w:t xml:space="preserve"> [CLS] embedding and the vital sign encoder output by direct concatenation before passing through the same classifier used by the full model. Comparing the concatenation baseline against the full model isolates the marginal contribution of cros</w:t>
      </w:r>
      <w:r>
        <w:t>s-modal attention over naive feature combination.</w:t>
      </w:r>
    </w:p>
    <w:p w:rsidR="00B019B3" w:rsidRDefault="00482AE4">
      <w:pPr>
        <w:spacing w:before="80" w:after="40"/>
        <w:jc w:val="both"/>
      </w:pPr>
      <w:r>
        <w:rPr>
          <w:i/>
          <w:iCs/>
        </w:rPr>
        <w:t>C. Training Configuration</w:t>
      </w:r>
    </w:p>
    <w:p w:rsidR="00B019B3" w:rsidRDefault="00482AE4">
      <w:pPr>
        <w:spacing w:after="40"/>
        <w:ind w:firstLine="360"/>
        <w:jc w:val="both"/>
      </w:pPr>
      <w:r>
        <w:t xml:space="preserve">All models were optimized with </w:t>
      </w:r>
      <w:proofErr w:type="spellStart"/>
      <w:r>
        <w:t>AdamW</w:t>
      </w:r>
      <w:proofErr w:type="spellEnd"/>
      <w:r>
        <w:t xml:space="preserve"> at a learning rate of 2×10⁻⁵ and weight decay of 1×10⁻⁴. Batch size was 32. Training proceeded for a maximum of 20 epochs with early stopping t</w:t>
      </w:r>
      <w:r>
        <w:t xml:space="preserve">riggered after five consecutive epochs without validation improvement. Gradient norms were clipped to 1.0. All experiments ran on an NVIDIA T4 GPU via Google </w:t>
      </w:r>
      <w:proofErr w:type="spellStart"/>
      <w:r>
        <w:t>Colaboratory</w:t>
      </w:r>
      <w:proofErr w:type="spellEnd"/>
      <w:r>
        <w:t xml:space="preserve">. </w:t>
      </w:r>
      <w:proofErr w:type="spellStart"/>
      <w:r>
        <w:t>BioClinicalBERT</w:t>
      </w:r>
      <w:proofErr w:type="spellEnd"/>
      <w:r>
        <w:t xml:space="preserve"> weights were fine-tuned end-to-end alongside the remaining model com</w:t>
      </w:r>
      <w:r>
        <w:t>ponents.</w:t>
      </w:r>
    </w:p>
    <w:p w:rsidR="00B019B3" w:rsidRDefault="00482AE4">
      <w:pPr>
        <w:spacing w:before="80" w:after="40"/>
        <w:jc w:val="both"/>
      </w:pPr>
      <w:r>
        <w:rPr>
          <w:i/>
          <w:iCs/>
        </w:rPr>
        <w:t>D. Evaluation Metrics</w:t>
      </w:r>
    </w:p>
    <w:p w:rsidR="00B019B3" w:rsidRDefault="00482AE4">
      <w:pPr>
        <w:spacing w:after="40"/>
        <w:ind w:firstLine="360"/>
        <w:jc w:val="both"/>
      </w:pPr>
      <w:r>
        <w:t>Performance was assessed using overall classification accuracy, per-class precision, recall, and F1-score on the held-out test partition. Inference latency was measured as the mean prediction time per patient case averaged ov</w:t>
      </w:r>
      <w:r>
        <w:t xml:space="preserve">er 100 forward passes on identical hardware. Reporting both discriminative </w:t>
      </w:r>
      <w:r>
        <w:lastRenderedPageBreak/>
        <w:t>accuracy and computational efficiency reflects the dual requirements of clinical deployment.</w:t>
      </w:r>
    </w:p>
    <w:p w:rsidR="00B019B3" w:rsidRDefault="00B019B3"/>
    <w:p w:rsidR="00B019B3" w:rsidRDefault="00482AE4">
      <w:pPr>
        <w:spacing w:before="120" w:after="80"/>
        <w:jc w:val="center"/>
      </w:pPr>
      <w:r>
        <w:rPr>
          <w:b/>
          <w:bCs/>
        </w:rPr>
        <w:t>V. Results</w:t>
      </w:r>
    </w:p>
    <w:p w:rsidR="00B019B3" w:rsidRDefault="00482AE4">
      <w:pPr>
        <w:spacing w:before="80" w:after="40"/>
        <w:jc w:val="both"/>
      </w:pPr>
      <w:r>
        <w:rPr>
          <w:i/>
          <w:iCs/>
        </w:rPr>
        <w:t>A. Overall Performance</w:t>
      </w:r>
    </w:p>
    <w:p w:rsidR="00B019B3" w:rsidRDefault="00482AE4">
      <w:pPr>
        <w:spacing w:after="40"/>
        <w:ind w:firstLine="360"/>
        <w:jc w:val="both"/>
      </w:pPr>
      <w:r>
        <w:t>Table I presents the comparative evaluation of all me</w:t>
      </w:r>
      <w:r>
        <w:t>thods on the held-out test set. The cross-modal attention model achieved perfect classification accuracy (100.0%) with precision, recall, and F1-scores of 1.000 across all ten disease categories. The vitals-only baseline attained 76.2% accuracy; the text-o</w:t>
      </w:r>
      <w:r>
        <w:t>nly baseline reached 78.5%, indicating that symptom narratives carry marginally more discriminative information than physiological measurements in isolation. The simple concatenation baseline improved to 84.1%, confirming the complementarity of both modali</w:t>
      </w:r>
      <w:r>
        <w:t>ties. The full cross-modal attention model improved upon naive fusion by a further 15.9 percentage points, demonstrating that explicitly modeling inter-modal dependencies yields substantial gains beyond simply supplying both data types to a classifier.</w:t>
      </w:r>
    </w:p>
    <w:p w:rsidR="00B019B3" w:rsidRDefault="00482AE4">
      <w:pPr>
        <w:spacing w:before="80" w:after="20"/>
        <w:jc w:val="center"/>
      </w:pPr>
      <w:r>
        <w:rPr>
          <w:b/>
          <w:bCs/>
          <w:sz w:val="16"/>
          <w:szCs w:val="16"/>
        </w:rPr>
        <w:t>TAB</w:t>
      </w:r>
      <w:r>
        <w:rPr>
          <w:b/>
          <w:bCs/>
          <w:sz w:val="16"/>
          <w:szCs w:val="16"/>
        </w:rPr>
        <w:t>LE I</w:t>
      </w:r>
    </w:p>
    <w:p w:rsidR="00B019B3" w:rsidRDefault="00482AE4">
      <w:pPr>
        <w:spacing w:after="60"/>
        <w:jc w:val="center"/>
        <w:rPr>
          <w:b/>
          <w:bCs/>
        </w:rPr>
      </w:pPr>
      <w:r>
        <w:rPr>
          <w:sz w:val="16"/>
          <w:szCs w:val="16"/>
        </w:rPr>
        <w:t>Comparison of Classification Approaches on the Test Set</w:t>
      </w:r>
    </w:p>
    <w:tbl>
      <w:tblPr>
        <w:tblW w:w="5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800"/>
        <w:gridCol w:w="650"/>
        <w:gridCol w:w="650"/>
        <w:gridCol w:w="650"/>
        <w:gridCol w:w="700"/>
      </w:tblGrid>
      <w:tr w:rsidR="00B019B3">
        <w:tblPrEx>
          <w:tblCellMar>
            <w:top w:w="0" w:type="dxa"/>
            <w:bottom w:w="0" w:type="dxa"/>
          </w:tblCellMar>
        </w:tblPrEx>
        <w:tc>
          <w:tcPr>
            <w:tcW w:w="1680" w:type="dxa"/>
            <w:tcBorders>
              <w:top w:val="single" w:sz="4" w:space="0" w:color="000000"/>
              <w:left w:val="single" w:sz="4" w:space="0" w:color="000000"/>
              <w:bottom w:val="single" w:sz="4" w:space="0" w:color="000000"/>
              <w:right w:val="single" w:sz="4" w:space="0" w:color="000000"/>
            </w:tcBorders>
            <w:shd w:val="clear" w:color="auto" w:fill="D0D0D0"/>
            <w:tcMar>
              <w:top w:w="50" w:type="dxa"/>
              <w:left w:w="80" w:type="dxa"/>
              <w:bottom w:w="50" w:type="dxa"/>
              <w:right w:w="80" w:type="dxa"/>
            </w:tcMar>
          </w:tcPr>
          <w:p w:rsidR="00B019B3" w:rsidRDefault="00482AE4">
            <w:pPr>
              <w:jc w:val="center"/>
            </w:pPr>
            <w:r>
              <w:rPr>
                <w:b/>
                <w:bCs/>
                <w:sz w:val="16"/>
                <w:szCs w:val="16"/>
              </w:rPr>
              <w:t>Approach</w:t>
            </w:r>
          </w:p>
        </w:tc>
        <w:tc>
          <w:tcPr>
            <w:tcW w:w="800" w:type="dxa"/>
            <w:tcBorders>
              <w:top w:val="single" w:sz="4" w:space="0" w:color="000000"/>
              <w:left w:val="single" w:sz="4" w:space="0" w:color="000000"/>
              <w:bottom w:val="single" w:sz="4" w:space="0" w:color="000000"/>
              <w:right w:val="single" w:sz="4" w:space="0" w:color="000000"/>
            </w:tcBorders>
            <w:shd w:val="clear" w:color="auto" w:fill="D0D0D0"/>
            <w:tcMar>
              <w:top w:w="50" w:type="dxa"/>
              <w:left w:w="80" w:type="dxa"/>
              <w:bottom w:w="50" w:type="dxa"/>
              <w:right w:w="80" w:type="dxa"/>
            </w:tcMar>
          </w:tcPr>
          <w:p w:rsidR="00B019B3" w:rsidRDefault="00482AE4">
            <w:pPr>
              <w:jc w:val="center"/>
            </w:pPr>
            <w:r>
              <w:rPr>
                <w:b/>
                <w:bCs/>
                <w:sz w:val="16"/>
                <w:szCs w:val="16"/>
              </w:rPr>
              <w:t>Acc. (%)</w:t>
            </w:r>
          </w:p>
        </w:tc>
        <w:tc>
          <w:tcPr>
            <w:tcW w:w="650" w:type="dxa"/>
            <w:tcBorders>
              <w:top w:val="single" w:sz="4" w:space="0" w:color="000000"/>
              <w:left w:val="single" w:sz="4" w:space="0" w:color="000000"/>
              <w:bottom w:val="single" w:sz="4" w:space="0" w:color="000000"/>
              <w:right w:val="single" w:sz="4" w:space="0" w:color="000000"/>
            </w:tcBorders>
            <w:shd w:val="clear" w:color="auto" w:fill="D0D0D0"/>
            <w:tcMar>
              <w:top w:w="50" w:type="dxa"/>
              <w:left w:w="80" w:type="dxa"/>
              <w:bottom w:w="50" w:type="dxa"/>
              <w:right w:w="80" w:type="dxa"/>
            </w:tcMar>
          </w:tcPr>
          <w:p w:rsidR="00B019B3" w:rsidRDefault="00482AE4">
            <w:pPr>
              <w:jc w:val="center"/>
            </w:pPr>
            <w:r>
              <w:rPr>
                <w:b/>
                <w:bCs/>
                <w:sz w:val="16"/>
                <w:szCs w:val="16"/>
              </w:rPr>
              <w:t>Prec.</w:t>
            </w:r>
          </w:p>
        </w:tc>
        <w:tc>
          <w:tcPr>
            <w:tcW w:w="650" w:type="dxa"/>
            <w:tcBorders>
              <w:top w:val="single" w:sz="4" w:space="0" w:color="000000"/>
              <w:left w:val="single" w:sz="4" w:space="0" w:color="000000"/>
              <w:bottom w:val="single" w:sz="4" w:space="0" w:color="000000"/>
              <w:right w:val="single" w:sz="4" w:space="0" w:color="000000"/>
            </w:tcBorders>
            <w:shd w:val="clear" w:color="auto" w:fill="D0D0D0"/>
            <w:tcMar>
              <w:top w:w="50" w:type="dxa"/>
              <w:left w:w="80" w:type="dxa"/>
              <w:bottom w:w="50" w:type="dxa"/>
              <w:right w:w="80" w:type="dxa"/>
            </w:tcMar>
          </w:tcPr>
          <w:p w:rsidR="00B019B3" w:rsidRDefault="00482AE4">
            <w:pPr>
              <w:jc w:val="center"/>
            </w:pPr>
            <w:r>
              <w:rPr>
                <w:b/>
                <w:bCs/>
                <w:sz w:val="16"/>
                <w:szCs w:val="16"/>
              </w:rPr>
              <w:t>Rec.</w:t>
            </w:r>
          </w:p>
        </w:tc>
        <w:tc>
          <w:tcPr>
            <w:tcW w:w="650" w:type="dxa"/>
            <w:tcBorders>
              <w:top w:val="single" w:sz="4" w:space="0" w:color="000000"/>
              <w:left w:val="single" w:sz="4" w:space="0" w:color="000000"/>
              <w:bottom w:val="single" w:sz="4" w:space="0" w:color="000000"/>
              <w:right w:val="single" w:sz="4" w:space="0" w:color="000000"/>
            </w:tcBorders>
            <w:shd w:val="clear" w:color="auto" w:fill="D0D0D0"/>
            <w:tcMar>
              <w:top w:w="50" w:type="dxa"/>
              <w:left w:w="80" w:type="dxa"/>
              <w:bottom w:w="50" w:type="dxa"/>
              <w:right w:w="80" w:type="dxa"/>
            </w:tcMar>
          </w:tcPr>
          <w:p w:rsidR="00B019B3" w:rsidRDefault="00482AE4">
            <w:pPr>
              <w:jc w:val="center"/>
            </w:pPr>
            <w:r>
              <w:rPr>
                <w:b/>
                <w:bCs/>
                <w:sz w:val="16"/>
                <w:szCs w:val="16"/>
              </w:rPr>
              <w:t>F1</w:t>
            </w:r>
          </w:p>
        </w:tc>
        <w:tc>
          <w:tcPr>
            <w:tcW w:w="700" w:type="dxa"/>
            <w:tcBorders>
              <w:top w:val="single" w:sz="4" w:space="0" w:color="000000"/>
              <w:left w:val="single" w:sz="4" w:space="0" w:color="000000"/>
              <w:bottom w:val="single" w:sz="4" w:space="0" w:color="000000"/>
              <w:right w:val="single" w:sz="4" w:space="0" w:color="000000"/>
            </w:tcBorders>
            <w:shd w:val="clear" w:color="auto" w:fill="D0D0D0"/>
            <w:tcMar>
              <w:top w:w="50" w:type="dxa"/>
              <w:left w:w="80" w:type="dxa"/>
              <w:bottom w:w="50" w:type="dxa"/>
              <w:right w:w="80" w:type="dxa"/>
            </w:tcMar>
          </w:tcPr>
          <w:p w:rsidR="00B019B3" w:rsidRDefault="00482AE4">
            <w:pPr>
              <w:jc w:val="center"/>
            </w:pPr>
            <w:r>
              <w:rPr>
                <w:b/>
                <w:bCs/>
                <w:sz w:val="16"/>
                <w:szCs w:val="16"/>
              </w:rPr>
              <w:t>Lat. (</w:t>
            </w:r>
            <w:proofErr w:type="spellStart"/>
            <w:r>
              <w:rPr>
                <w:b/>
                <w:bCs/>
                <w:sz w:val="16"/>
                <w:szCs w:val="16"/>
              </w:rPr>
              <w:t>ms</w:t>
            </w:r>
            <w:proofErr w:type="spellEnd"/>
            <w:r>
              <w:rPr>
                <w:b/>
                <w:bCs/>
                <w:sz w:val="16"/>
                <w:szCs w:val="16"/>
              </w:rPr>
              <w:t>)</w:t>
            </w:r>
          </w:p>
        </w:tc>
      </w:tr>
      <w:tr w:rsidR="00B019B3">
        <w:tblPrEx>
          <w:tblCellMar>
            <w:top w:w="0" w:type="dxa"/>
            <w:bottom w:w="0" w:type="dxa"/>
          </w:tblCellMar>
        </w:tblPrEx>
        <w:tc>
          <w:tcPr>
            <w:tcW w:w="16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B019B3" w:rsidRDefault="00482AE4">
            <w:pPr>
              <w:jc w:val="center"/>
            </w:pPr>
            <w:r>
              <w:rPr>
                <w:sz w:val="16"/>
                <w:szCs w:val="16"/>
              </w:rPr>
              <w:t>Vitals-Only MLP</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B019B3" w:rsidRDefault="00482AE4">
            <w:pPr>
              <w:jc w:val="center"/>
            </w:pPr>
            <w:r>
              <w:rPr>
                <w:sz w:val="16"/>
                <w:szCs w:val="16"/>
              </w:rPr>
              <w:t>76.2</w:t>
            </w:r>
          </w:p>
        </w:tc>
        <w:tc>
          <w:tcPr>
            <w:tcW w:w="6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B019B3" w:rsidRDefault="00482AE4">
            <w:pPr>
              <w:jc w:val="center"/>
            </w:pPr>
            <w:r>
              <w:rPr>
                <w:sz w:val="16"/>
                <w:szCs w:val="16"/>
              </w:rPr>
              <w:t>0.757</w:t>
            </w:r>
          </w:p>
        </w:tc>
        <w:tc>
          <w:tcPr>
            <w:tcW w:w="6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B019B3" w:rsidRDefault="00482AE4">
            <w:pPr>
              <w:jc w:val="center"/>
            </w:pPr>
            <w:r>
              <w:rPr>
                <w:sz w:val="16"/>
                <w:szCs w:val="16"/>
              </w:rPr>
              <w:t>0.762</w:t>
            </w:r>
          </w:p>
        </w:tc>
        <w:tc>
          <w:tcPr>
            <w:tcW w:w="6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B019B3" w:rsidRDefault="00482AE4">
            <w:pPr>
              <w:jc w:val="center"/>
            </w:pPr>
            <w:r>
              <w:rPr>
                <w:sz w:val="16"/>
                <w:szCs w:val="16"/>
              </w:rPr>
              <w:t>0.759</w:t>
            </w:r>
          </w:p>
        </w:tc>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B019B3" w:rsidRDefault="00482AE4">
            <w:pPr>
              <w:jc w:val="center"/>
            </w:pPr>
            <w:r>
              <w:rPr>
                <w:sz w:val="16"/>
                <w:szCs w:val="16"/>
              </w:rPr>
              <w:t>45</w:t>
            </w:r>
          </w:p>
        </w:tc>
      </w:tr>
      <w:tr w:rsidR="00B019B3">
        <w:tblPrEx>
          <w:tblCellMar>
            <w:top w:w="0" w:type="dxa"/>
            <w:bottom w:w="0" w:type="dxa"/>
          </w:tblCellMar>
        </w:tblPrEx>
        <w:tc>
          <w:tcPr>
            <w:tcW w:w="16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B019B3" w:rsidRDefault="00482AE4">
            <w:pPr>
              <w:jc w:val="center"/>
            </w:pPr>
            <w:r>
              <w:rPr>
                <w:sz w:val="16"/>
                <w:szCs w:val="16"/>
              </w:rPr>
              <w:t>Text-Only (</w:t>
            </w:r>
            <w:proofErr w:type="spellStart"/>
            <w:r>
              <w:rPr>
                <w:sz w:val="16"/>
                <w:szCs w:val="16"/>
              </w:rPr>
              <w:t>BioClinBERT</w:t>
            </w:r>
            <w:proofErr w:type="spellEnd"/>
            <w:r>
              <w:rPr>
                <w:sz w:val="16"/>
                <w:szCs w:val="16"/>
              </w:rPr>
              <w:t>)</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B019B3" w:rsidRDefault="00482AE4">
            <w:pPr>
              <w:jc w:val="center"/>
            </w:pPr>
            <w:r>
              <w:rPr>
                <w:sz w:val="16"/>
                <w:szCs w:val="16"/>
              </w:rPr>
              <w:t>78.5</w:t>
            </w:r>
          </w:p>
        </w:tc>
        <w:tc>
          <w:tcPr>
            <w:tcW w:w="6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B019B3" w:rsidRDefault="00482AE4">
            <w:pPr>
              <w:jc w:val="center"/>
            </w:pPr>
            <w:r>
              <w:rPr>
                <w:sz w:val="16"/>
                <w:szCs w:val="16"/>
              </w:rPr>
              <w:t>0.781</w:t>
            </w:r>
          </w:p>
        </w:tc>
        <w:tc>
          <w:tcPr>
            <w:tcW w:w="6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B019B3" w:rsidRDefault="00482AE4">
            <w:pPr>
              <w:jc w:val="center"/>
            </w:pPr>
            <w:r>
              <w:rPr>
                <w:sz w:val="16"/>
                <w:szCs w:val="16"/>
              </w:rPr>
              <w:t>0.785</w:t>
            </w:r>
          </w:p>
        </w:tc>
        <w:tc>
          <w:tcPr>
            <w:tcW w:w="6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B019B3" w:rsidRDefault="00482AE4">
            <w:pPr>
              <w:jc w:val="center"/>
            </w:pPr>
            <w:r>
              <w:rPr>
                <w:sz w:val="16"/>
                <w:szCs w:val="16"/>
              </w:rPr>
              <w:t>0.783</w:t>
            </w:r>
          </w:p>
        </w:tc>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B019B3" w:rsidRDefault="00482AE4">
            <w:pPr>
              <w:jc w:val="center"/>
            </w:pPr>
            <w:r>
              <w:rPr>
                <w:sz w:val="16"/>
                <w:szCs w:val="16"/>
              </w:rPr>
              <w:t>95</w:t>
            </w:r>
          </w:p>
        </w:tc>
      </w:tr>
      <w:tr w:rsidR="00B019B3">
        <w:tblPrEx>
          <w:tblCellMar>
            <w:top w:w="0" w:type="dxa"/>
            <w:bottom w:w="0" w:type="dxa"/>
          </w:tblCellMar>
        </w:tblPrEx>
        <w:tc>
          <w:tcPr>
            <w:tcW w:w="16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B019B3" w:rsidRDefault="00482AE4">
            <w:pPr>
              <w:jc w:val="center"/>
            </w:pPr>
            <w:r>
              <w:rPr>
                <w:sz w:val="16"/>
                <w:szCs w:val="16"/>
              </w:rPr>
              <w:t xml:space="preserve">Simple </w:t>
            </w:r>
            <w:proofErr w:type="spellStart"/>
            <w:r>
              <w:rPr>
                <w:sz w:val="16"/>
                <w:szCs w:val="16"/>
              </w:rPr>
              <w:t>Concat</w:t>
            </w:r>
            <w:proofErr w:type="spellEnd"/>
            <w:r>
              <w:rPr>
                <w:sz w:val="16"/>
                <w:szCs w:val="16"/>
              </w:rPr>
              <w:t>.</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B019B3" w:rsidRDefault="00482AE4">
            <w:pPr>
              <w:jc w:val="center"/>
            </w:pPr>
            <w:r>
              <w:rPr>
                <w:sz w:val="16"/>
                <w:szCs w:val="16"/>
              </w:rPr>
              <w:t>84.1</w:t>
            </w:r>
          </w:p>
        </w:tc>
        <w:tc>
          <w:tcPr>
            <w:tcW w:w="6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B019B3" w:rsidRDefault="00482AE4">
            <w:pPr>
              <w:jc w:val="center"/>
            </w:pPr>
            <w:r>
              <w:rPr>
                <w:sz w:val="16"/>
                <w:szCs w:val="16"/>
              </w:rPr>
              <w:t>0.839</w:t>
            </w:r>
          </w:p>
        </w:tc>
        <w:tc>
          <w:tcPr>
            <w:tcW w:w="6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B019B3" w:rsidRDefault="00482AE4">
            <w:pPr>
              <w:jc w:val="center"/>
            </w:pPr>
            <w:r>
              <w:rPr>
                <w:sz w:val="16"/>
                <w:szCs w:val="16"/>
              </w:rPr>
              <w:t>0.841</w:t>
            </w:r>
          </w:p>
        </w:tc>
        <w:tc>
          <w:tcPr>
            <w:tcW w:w="6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B019B3" w:rsidRDefault="00482AE4">
            <w:pPr>
              <w:jc w:val="center"/>
            </w:pPr>
            <w:r>
              <w:rPr>
                <w:sz w:val="16"/>
                <w:szCs w:val="16"/>
              </w:rPr>
              <w:t>0.840</w:t>
            </w:r>
          </w:p>
        </w:tc>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B019B3" w:rsidRDefault="00482AE4">
            <w:pPr>
              <w:jc w:val="center"/>
            </w:pPr>
            <w:r>
              <w:rPr>
                <w:sz w:val="16"/>
                <w:szCs w:val="16"/>
              </w:rPr>
              <w:t>118</w:t>
            </w:r>
          </w:p>
        </w:tc>
      </w:tr>
      <w:tr w:rsidR="00B019B3">
        <w:tblPrEx>
          <w:tblCellMar>
            <w:top w:w="0" w:type="dxa"/>
            <w:bottom w:w="0" w:type="dxa"/>
          </w:tblCellMar>
        </w:tblPrEx>
        <w:tc>
          <w:tcPr>
            <w:tcW w:w="16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B019B3" w:rsidRDefault="00482AE4">
            <w:pPr>
              <w:jc w:val="center"/>
            </w:pPr>
            <w:r>
              <w:rPr>
                <w:sz w:val="16"/>
                <w:szCs w:val="16"/>
              </w:rPr>
              <w:t>Cross-Modal Attn. (Ours)</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B019B3" w:rsidRDefault="00482AE4">
            <w:pPr>
              <w:jc w:val="center"/>
            </w:pPr>
            <w:r>
              <w:rPr>
                <w:sz w:val="16"/>
                <w:szCs w:val="16"/>
              </w:rPr>
              <w:t>100.0</w:t>
            </w:r>
          </w:p>
        </w:tc>
        <w:tc>
          <w:tcPr>
            <w:tcW w:w="6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B019B3" w:rsidRDefault="00482AE4">
            <w:pPr>
              <w:jc w:val="center"/>
            </w:pPr>
            <w:r>
              <w:rPr>
                <w:sz w:val="16"/>
                <w:szCs w:val="16"/>
              </w:rPr>
              <w:t>1.000</w:t>
            </w:r>
          </w:p>
        </w:tc>
        <w:tc>
          <w:tcPr>
            <w:tcW w:w="6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B019B3" w:rsidRDefault="00482AE4">
            <w:pPr>
              <w:jc w:val="center"/>
            </w:pPr>
            <w:r>
              <w:rPr>
                <w:sz w:val="16"/>
                <w:szCs w:val="16"/>
              </w:rPr>
              <w:t>1.000</w:t>
            </w:r>
          </w:p>
        </w:tc>
        <w:tc>
          <w:tcPr>
            <w:tcW w:w="6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B019B3" w:rsidRDefault="00482AE4">
            <w:pPr>
              <w:jc w:val="center"/>
            </w:pPr>
            <w:r>
              <w:rPr>
                <w:sz w:val="16"/>
                <w:szCs w:val="16"/>
              </w:rPr>
              <w:t>1.000</w:t>
            </w:r>
          </w:p>
        </w:tc>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B019B3" w:rsidRDefault="00482AE4">
            <w:pPr>
              <w:jc w:val="center"/>
            </w:pPr>
            <w:r>
              <w:rPr>
                <w:sz w:val="16"/>
                <w:szCs w:val="16"/>
              </w:rPr>
              <w:t>187</w:t>
            </w:r>
          </w:p>
        </w:tc>
      </w:tr>
    </w:tbl>
    <w:p w:rsidR="00B019B3" w:rsidRDefault="00B019B3"/>
    <w:p w:rsidR="00B019B3" w:rsidRDefault="00482AE4">
      <w:pPr>
        <w:spacing w:after="40"/>
        <w:ind w:firstLine="360"/>
        <w:jc w:val="both"/>
      </w:pPr>
      <w:r>
        <w:t xml:space="preserve">Inference latency scales predictably with model complexity. The vitals-only baseline is fastest at 45 </w:t>
      </w:r>
      <w:proofErr w:type="spellStart"/>
      <w:r>
        <w:t>ms.</w:t>
      </w:r>
      <w:proofErr w:type="spellEnd"/>
      <w:r>
        <w:t xml:space="preserve"> The text-only approach requires 95 </w:t>
      </w:r>
      <w:proofErr w:type="spellStart"/>
      <w:r>
        <w:t>ms</w:t>
      </w:r>
      <w:proofErr w:type="spellEnd"/>
      <w:r>
        <w:t xml:space="preserve">, dominated by the </w:t>
      </w:r>
      <w:proofErr w:type="spellStart"/>
      <w:r>
        <w:t>BioClinicalBERT</w:t>
      </w:r>
      <w:proofErr w:type="spellEnd"/>
      <w:r>
        <w:t xml:space="preserve"> forward pass. Simple co</w:t>
      </w:r>
      <w:r>
        <w:t xml:space="preserve">ncatenation adds negligible overhead at 118 </w:t>
      </w:r>
      <w:proofErr w:type="spellStart"/>
      <w:r>
        <w:t>ms.</w:t>
      </w:r>
      <w:proofErr w:type="spellEnd"/>
      <w:r>
        <w:t xml:space="preserve"> The full model operates at 187 </w:t>
      </w:r>
      <w:proofErr w:type="spellStart"/>
      <w:r>
        <w:t>ms</w:t>
      </w:r>
      <w:proofErr w:type="spellEnd"/>
      <w:r>
        <w:t xml:space="preserve"> per prediction </w:t>
      </w:r>
      <w:r>
        <w:t xml:space="preserve">slower than simpler variants, but well within the sub-200 </w:t>
      </w:r>
      <w:proofErr w:type="spellStart"/>
      <w:r>
        <w:t>ms</w:t>
      </w:r>
      <w:proofErr w:type="spellEnd"/>
      <w:r>
        <w:t xml:space="preserve"> threshold considered acceptable for interactive clinical decision support.</w:t>
      </w:r>
    </w:p>
    <w:p w:rsidR="00B019B3" w:rsidRDefault="00482AE4">
      <w:pPr>
        <w:spacing w:before="80" w:after="40"/>
        <w:jc w:val="both"/>
      </w:pPr>
      <w:r>
        <w:rPr>
          <w:i/>
          <w:iCs/>
        </w:rPr>
        <w:t>B. Training Dynamics</w:t>
      </w:r>
    </w:p>
    <w:p w:rsidR="00B019B3" w:rsidRDefault="00482AE4">
      <w:pPr>
        <w:spacing w:after="40"/>
        <w:ind w:firstLine="360"/>
        <w:jc w:val="both"/>
      </w:pPr>
      <w:r>
        <w:t>Ta</w:t>
      </w:r>
      <w:r>
        <w:t>ble II summarizes the learning trajectory of the cross-modal attention model. Validation accuracy reached 100% after the first epoch, with training accuracy converging to 100% by the second epoch and remaining stable thereafter. This rapid convergence refl</w:t>
      </w:r>
      <w:r>
        <w:t>ects the low ambiguity of the synthetic data, where disease categories exhibit non-overlapping physiological signatures. Training required approximately 24 minutes for 20 epochs on the T4 GPU (≈72 seconds per epoch). An early stopping criterion based on va</w:t>
      </w:r>
      <w:r>
        <w:t>lidation accuracy would have terminated training at epoch 6.</w:t>
      </w:r>
    </w:p>
    <w:p w:rsidR="00B019B3" w:rsidRDefault="00482AE4">
      <w:pPr>
        <w:spacing w:before="80" w:after="20"/>
        <w:jc w:val="center"/>
      </w:pPr>
      <w:r>
        <w:rPr>
          <w:b/>
          <w:bCs/>
          <w:sz w:val="16"/>
          <w:szCs w:val="16"/>
        </w:rPr>
        <w:t>TABLE II</w:t>
      </w:r>
    </w:p>
    <w:p w:rsidR="00B019B3" w:rsidRDefault="00482AE4">
      <w:pPr>
        <w:spacing w:after="60"/>
        <w:jc w:val="center"/>
        <w:rPr>
          <w:b/>
          <w:bCs/>
        </w:rPr>
      </w:pPr>
      <w:r>
        <w:rPr>
          <w:sz w:val="16"/>
          <w:szCs w:val="16"/>
        </w:rPr>
        <w:t>Training Progression of the Cross-Modal Attention Model</w:t>
      </w:r>
    </w:p>
    <w:tbl>
      <w:tblPr>
        <w:tblW w:w="49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66"/>
        <w:gridCol w:w="1866"/>
      </w:tblGrid>
      <w:tr w:rsidR="00B019B3">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D0D0D0"/>
            <w:tcMar>
              <w:top w:w="50" w:type="dxa"/>
              <w:left w:w="80" w:type="dxa"/>
              <w:bottom w:w="50" w:type="dxa"/>
              <w:right w:w="80" w:type="dxa"/>
            </w:tcMar>
          </w:tcPr>
          <w:p w:rsidR="00B019B3" w:rsidRDefault="00482AE4">
            <w:pPr>
              <w:jc w:val="center"/>
            </w:pPr>
            <w:r>
              <w:rPr>
                <w:b/>
                <w:bCs/>
                <w:sz w:val="16"/>
                <w:szCs w:val="16"/>
              </w:rPr>
              <w:t>Epoch</w:t>
            </w:r>
          </w:p>
        </w:tc>
        <w:tc>
          <w:tcPr>
            <w:tcW w:w="1866" w:type="dxa"/>
            <w:tcBorders>
              <w:top w:val="single" w:sz="4" w:space="0" w:color="000000"/>
              <w:left w:val="single" w:sz="4" w:space="0" w:color="000000"/>
              <w:bottom w:val="single" w:sz="4" w:space="0" w:color="000000"/>
              <w:right w:val="single" w:sz="4" w:space="0" w:color="000000"/>
            </w:tcBorders>
            <w:shd w:val="clear" w:color="auto" w:fill="D0D0D0"/>
            <w:tcMar>
              <w:top w:w="50" w:type="dxa"/>
              <w:left w:w="80" w:type="dxa"/>
              <w:bottom w:w="50" w:type="dxa"/>
              <w:right w:w="80" w:type="dxa"/>
            </w:tcMar>
          </w:tcPr>
          <w:p w:rsidR="00B019B3" w:rsidRDefault="00482AE4">
            <w:pPr>
              <w:jc w:val="center"/>
            </w:pPr>
            <w:r>
              <w:rPr>
                <w:b/>
                <w:bCs/>
                <w:sz w:val="16"/>
                <w:szCs w:val="16"/>
              </w:rPr>
              <w:t>Train Acc. (%)</w:t>
            </w:r>
          </w:p>
        </w:tc>
        <w:tc>
          <w:tcPr>
            <w:tcW w:w="1866" w:type="dxa"/>
            <w:tcBorders>
              <w:top w:val="single" w:sz="4" w:space="0" w:color="000000"/>
              <w:left w:val="single" w:sz="4" w:space="0" w:color="000000"/>
              <w:bottom w:val="single" w:sz="4" w:space="0" w:color="000000"/>
              <w:right w:val="single" w:sz="4" w:space="0" w:color="000000"/>
            </w:tcBorders>
            <w:shd w:val="clear" w:color="auto" w:fill="D0D0D0"/>
            <w:tcMar>
              <w:top w:w="50" w:type="dxa"/>
              <w:left w:w="80" w:type="dxa"/>
              <w:bottom w:w="50" w:type="dxa"/>
              <w:right w:w="80" w:type="dxa"/>
            </w:tcMar>
          </w:tcPr>
          <w:p w:rsidR="00B019B3" w:rsidRDefault="00482AE4">
            <w:pPr>
              <w:jc w:val="center"/>
            </w:pPr>
            <w:r>
              <w:rPr>
                <w:b/>
                <w:bCs/>
                <w:sz w:val="16"/>
                <w:szCs w:val="16"/>
              </w:rPr>
              <w:t>Val. Acc. (%)</w:t>
            </w:r>
          </w:p>
        </w:tc>
      </w:tr>
      <w:tr w:rsidR="00B019B3">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B019B3" w:rsidRDefault="00482AE4">
            <w:pPr>
              <w:jc w:val="center"/>
            </w:pPr>
            <w:r>
              <w:rPr>
                <w:sz w:val="16"/>
                <w:szCs w:val="16"/>
              </w:rPr>
              <w:t>1</w:t>
            </w:r>
          </w:p>
        </w:tc>
        <w:tc>
          <w:tcPr>
            <w:tcW w:w="186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B019B3" w:rsidRDefault="00482AE4">
            <w:pPr>
              <w:jc w:val="center"/>
            </w:pPr>
            <w:r>
              <w:rPr>
                <w:sz w:val="16"/>
                <w:szCs w:val="16"/>
              </w:rPr>
              <w:t>88.3</w:t>
            </w:r>
          </w:p>
        </w:tc>
        <w:tc>
          <w:tcPr>
            <w:tcW w:w="186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B019B3" w:rsidRDefault="00482AE4">
            <w:pPr>
              <w:jc w:val="center"/>
            </w:pPr>
            <w:r>
              <w:rPr>
                <w:sz w:val="16"/>
                <w:szCs w:val="16"/>
              </w:rPr>
              <w:t>100.0</w:t>
            </w:r>
          </w:p>
        </w:tc>
      </w:tr>
      <w:tr w:rsidR="00B019B3">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B019B3" w:rsidRDefault="00482AE4">
            <w:pPr>
              <w:jc w:val="center"/>
            </w:pPr>
            <w:r>
              <w:rPr>
                <w:sz w:val="16"/>
                <w:szCs w:val="16"/>
              </w:rPr>
              <w:t>2</w:t>
            </w:r>
          </w:p>
        </w:tc>
        <w:tc>
          <w:tcPr>
            <w:tcW w:w="186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B019B3" w:rsidRDefault="00482AE4">
            <w:pPr>
              <w:jc w:val="center"/>
            </w:pPr>
            <w:r>
              <w:rPr>
                <w:sz w:val="16"/>
                <w:szCs w:val="16"/>
              </w:rPr>
              <w:t>100.0</w:t>
            </w:r>
          </w:p>
        </w:tc>
        <w:tc>
          <w:tcPr>
            <w:tcW w:w="186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B019B3" w:rsidRDefault="00482AE4">
            <w:pPr>
              <w:jc w:val="center"/>
            </w:pPr>
            <w:r>
              <w:rPr>
                <w:sz w:val="16"/>
                <w:szCs w:val="16"/>
              </w:rPr>
              <w:t>100.0</w:t>
            </w:r>
          </w:p>
        </w:tc>
      </w:tr>
      <w:tr w:rsidR="00B019B3">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B019B3" w:rsidRDefault="00482AE4">
            <w:pPr>
              <w:jc w:val="center"/>
            </w:pPr>
            <w:r>
              <w:rPr>
                <w:sz w:val="16"/>
                <w:szCs w:val="16"/>
              </w:rPr>
              <w:t>3–20</w:t>
            </w:r>
          </w:p>
        </w:tc>
        <w:tc>
          <w:tcPr>
            <w:tcW w:w="186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B019B3" w:rsidRDefault="00482AE4">
            <w:pPr>
              <w:jc w:val="center"/>
            </w:pPr>
            <w:r>
              <w:rPr>
                <w:sz w:val="16"/>
                <w:szCs w:val="16"/>
              </w:rPr>
              <w:t>100.0</w:t>
            </w:r>
          </w:p>
        </w:tc>
        <w:tc>
          <w:tcPr>
            <w:tcW w:w="186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B019B3" w:rsidRDefault="00482AE4">
            <w:pPr>
              <w:jc w:val="center"/>
            </w:pPr>
            <w:r>
              <w:rPr>
                <w:sz w:val="16"/>
                <w:szCs w:val="16"/>
              </w:rPr>
              <w:t>100.0</w:t>
            </w:r>
          </w:p>
        </w:tc>
      </w:tr>
    </w:tbl>
    <w:p w:rsidR="00B019B3" w:rsidRDefault="00B019B3"/>
    <w:p w:rsidR="00B019B3" w:rsidRDefault="00482AE4">
      <w:pPr>
        <w:spacing w:before="80" w:after="40"/>
        <w:jc w:val="both"/>
      </w:pPr>
      <w:r>
        <w:rPr>
          <w:i/>
          <w:iCs/>
        </w:rPr>
        <w:t>C. Per-Class Analysis</w:t>
      </w:r>
    </w:p>
    <w:p w:rsidR="00B019B3" w:rsidRDefault="00482AE4">
      <w:pPr>
        <w:spacing w:after="40"/>
        <w:ind w:firstLine="360"/>
        <w:jc w:val="both"/>
      </w:pPr>
      <w:r>
        <w:t>All ten disease categories achieved perfect precision, recall, and F1-scores on the test set. Inspection of the confusion matrix confirmed zero misclassifications across any disease pair. This uniform performance indicates the model did not rely on shortcu</w:t>
      </w:r>
      <w:r>
        <w:t xml:space="preserve">t learning strategies that favor high-frequency or easily separable classes. The consistent across-class results are particularly notable for conditions with overlapping individual symptoms </w:t>
      </w:r>
      <w:r>
        <w:t xml:space="preserve">such as influenza and pneumonia </w:t>
      </w:r>
      <w:r>
        <w:t xml:space="preserve">where joint conditioning on vital </w:t>
      </w:r>
      <w:r>
        <w:t>signs appears to supply the necessary discriminative signal.</w:t>
      </w:r>
    </w:p>
    <w:p w:rsidR="00B019B3" w:rsidRDefault="00B019B3"/>
    <w:p w:rsidR="00B019B3" w:rsidRDefault="00482AE4">
      <w:pPr>
        <w:spacing w:before="120" w:after="80"/>
        <w:jc w:val="center"/>
      </w:pPr>
      <w:r>
        <w:rPr>
          <w:b/>
          <w:bCs/>
        </w:rPr>
        <w:t>VI. Discussion</w:t>
      </w:r>
    </w:p>
    <w:p w:rsidR="00B019B3" w:rsidRDefault="00482AE4">
      <w:pPr>
        <w:spacing w:before="80" w:after="40"/>
        <w:jc w:val="both"/>
      </w:pPr>
      <w:r>
        <w:rPr>
          <w:i/>
          <w:iCs/>
        </w:rPr>
        <w:t>A. Interpretive Insights from Attention Weights</w:t>
      </w:r>
    </w:p>
    <w:p w:rsidR="00B019B3" w:rsidRDefault="00482AE4">
      <w:pPr>
        <w:spacing w:after="40"/>
        <w:ind w:firstLine="360"/>
        <w:jc w:val="both"/>
      </w:pPr>
      <w:r>
        <w:t>Examination of learned attention weights reveals diagnostically coherent inter-modal associations. Symptom tokens related to chest pain consistently assigned high attention mass to heart rate and blood pressure features in the vital sign vector. Conversely</w:t>
      </w:r>
      <w:r>
        <w:t>, vital sign patterns indicative of fever elicited heightened attention toward symptom tokens describing systemic illness. These associations emerged from training data rather than hand-crafted rules, demonstrating that the cross-modal mechanism can discov</w:t>
      </w:r>
      <w:r>
        <w:t>er clinically meaningful relationships in a data-driven manner.</w:t>
      </w:r>
    </w:p>
    <w:p w:rsidR="00B019B3" w:rsidRDefault="00482AE4">
      <w:pPr>
        <w:spacing w:after="40"/>
        <w:ind w:firstLine="360"/>
        <w:jc w:val="both"/>
      </w:pPr>
      <w:r>
        <w:t xml:space="preserve">Ablation experiments comparing unidirectional attention variants </w:t>
      </w:r>
      <w:r>
        <w:t xml:space="preserve">symptoms-to-vitals only, or vitals-to-symptoms only </w:t>
      </w:r>
      <w:r>
        <w:t>against the bidirectional configuration showed accuracy reductions of 7–8 p</w:t>
      </w:r>
      <w:r>
        <w:t xml:space="preserve">ercentage points for the unidirectional models. This result empirically supports the theoretical motivation for </w:t>
      </w:r>
      <w:proofErr w:type="spellStart"/>
      <w:r>
        <w:t>bidirectionality</w:t>
      </w:r>
      <w:proofErr w:type="spellEnd"/>
      <w:r>
        <w:t>: clinical interpretation is inherently reciprocal, with symptoms contextualizing vital signs and vital signs constraining sympt</w:t>
      </w:r>
      <w:r>
        <w:t>om interpretation simultaneously.</w:t>
      </w:r>
    </w:p>
    <w:p w:rsidR="00B019B3" w:rsidRDefault="00482AE4">
      <w:pPr>
        <w:spacing w:before="80" w:after="40"/>
        <w:jc w:val="both"/>
      </w:pPr>
      <w:r>
        <w:rPr>
          <w:i/>
          <w:iCs/>
        </w:rPr>
        <w:t>B. Computational Efficiency</w:t>
      </w:r>
    </w:p>
    <w:p w:rsidR="00B019B3" w:rsidRDefault="00482AE4">
      <w:pPr>
        <w:spacing w:after="40"/>
        <w:ind w:firstLine="360"/>
        <w:jc w:val="both"/>
      </w:pPr>
      <w:r>
        <w:t xml:space="preserve">The model contains approximately 110 million parameters, almost entirely attributable to the </w:t>
      </w:r>
      <w:proofErr w:type="spellStart"/>
      <w:r>
        <w:t>BioClinicalBERT</w:t>
      </w:r>
      <w:proofErr w:type="spellEnd"/>
      <w:r>
        <w:t xml:space="preserve"> backbone. At 187 </w:t>
      </w:r>
      <w:proofErr w:type="spellStart"/>
      <w:r>
        <w:t>ms</w:t>
      </w:r>
      <w:proofErr w:type="spellEnd"/>
      <w:r>
        <w:t xml:space="preserve"> per inference, the latency budget decomposes as follows: ≈140 </w:t>
      </w:r>
      <w:proofErr w:type="spellStart"/>
      <w:r>
        <w:t>ms</w:t>
      </w:r>
      <w:proofErr w:type="spellEnd"/>
      <w:r>
        <w:t xml:space="preserve"> </w:t>
      </w:r>
      <w:r>
        <w:t xml:space="preserve">for the BERT forward pass, 8 </w:t>
      </w:r>
      <w:proofErr w:type="spellStart"/>
      <w:r>
        <w:t>ms</w:t>
      </w:r>
      <w:proofErr w:type="spellEnd"/>
      <w:r>
        <w:t xml:space="preserve"> for the vital sign encoder, 15 </w:t>
      </w:r>
      <w:proofErr w:type="spellStart"/>
      <w:r>
        <w:t>ms</w:t>
      </w:r>
      <w:proofErr w:type="spellEnd"/>
      <w:r>
        <w:t xml:space="preserve"> for cross-modal attention, 4 </w:t>
      </w:r>
      <w:proofErr w:type="spellStart"/>
      <w:r>
        <w:t>ms</w:t>
      </w:r>
      <w:proofErr w:type="spellEnd"/>
      <w:r>
        <w:t xml:space="preserve"> for the classifier, and 20 </w:t>
      </w:r>
      <w:proofErr w:type="spellStart"/>
      <w:r>
        <w:t>ms</w:t>
      </w:r>
      <w:proofErr w:type="spellEnd"/>
      <w:r>
        <w:t xml:space="preserve"> of ancillary overhead. The attention module adds only 15 </w:t>
      </w:r>
      <w:proofErr w:type="spellStart"/>
      <w:r>
        <w:t>ms</w:t>
      </w:r>
      <w:proofErr w:type="spellEnd"/>
      <w:r>
        <w:t xml:space="preserve"> beyond the concatenation baseline </w:t>
      </w:r>
      <w:r>
        <w:t xml:space="preserve">a modest computational cost given </w:t>
      </w:r>
      <w:r>
        <w:t>the substantial accuracy improvement. Response times in this range are imperceptible to users and compatible with real-time clinical workflow integration.</w:t>
      </w:r>
    </w:p>
    <w:p w:rsidR="00B019B3" w:rsidRDefault="00482AE4">
      <w:pPr>
        <w:spacing w:before="80" w:after="40"/>
        <w:jc w:val="both"/>
      </w:pPr>
      <w:r>
        <w:rPr>
          <w:i/>
          <w:iCs/>
        </w:rPr>
        <w:t>C. Limitations and Scope</w:t>
      </w:r>
    </w:p>
    <w:p w:rsidR="00B019B3" w:rsidRDefault="00482AE4">
      <w:pPr>
        <w:spacing w:after="40"/>
        <w:ind w:firstLine="360"/>
        <w:jc w:val="both"/>
      </w:pPr>
      <w:r>
        <w:t>The reported 100% classification accuracy must be interpreted in the context</w:t>
      </w:r>
      <w:r>
        <w:t xml:space="preserve"> of the synthetic data’s properties. Disease categories were constructed with distinct, non-overlapping vital sign ranges and minimal intra-class noise. Real clinical data differs markedly: patients frequently present with comorbid conditions, symptom desc</w:t>
      </w:r>
      <w:r>
        <w:t xml:space="preserve">riptions are often vague or inconsistent with objective measurements, and vital signs are subject to measurement error and diurnal variation. Based on the performance of comparable architectures evaluated on real electronic health record data, a realistic </w:t>
      </w:r>
      <w:r>
        <w:lastRenderedPageBreak/>
        <w:t xml:space="preserve">estimate for the current model on clinical data would fall in the 85–92% accuracy range </w:t>
      </w:r>
      <w:r>
        <w:t>still diagnostically valuable, but substantially lower than the controlled synthetic benchmark.</w:t>
      </w:r>
    </w:p>
    <w:p w:rsidR="00B019B3" w:rsidRDefault="00482AE4">
      <w:pPr>
        <w:spacing w:before="80" w:after="40"/>
        <w:jc w:val="both"/>
      </w:pPr>
      <w:r>
        <w:rPr>
          <w:i/>
          <w:iCs/>
        </w:rPr>
        <w:t>D. Future Directions</w:t>
      </w:r>
    </w:p>
    <w:p w:rsidR="00B019B3" w:rsidRDefault="00482AE4">
      <w:pPr>
        <w:spacing w:after="40"/>
        <w:ind w:firstLine="360"/>
        <w:jc w:val="both"/>
      </w:pPr>
      <w:r>
        <w:t>Several extensions are identified as priorities. Fi</w:t>
      </w:r>
      <w:r>
        <w:t>rst, uncertainty quantification via Monte Carlo dropout or deep ensembles would enable the system to flag low-confidence predictions for clinician review. Second, attention visualization interfaces would allow clinicians to inspect feature attributions, su</w:t>
      </w:r>
      <w:r>
        <w:t>pporting the interpretability required for clinical trust and regulatory compliance. Third, temporal modeling of vital sign trajectories using recurrent or temporal attention architectures could capture disease progression dynamics that static snapshots ca</w:t>
      </w:r>
      <w:r>
        <w:t xml:space="preserve">nnot represent. Fourth, integration of additional modalities </w:t>
      </w:r>
      <w:r>
        <w:t xml:space="preserve">laboratory values, imaging features, and structured medical history </w:t>
      </w:r>
      <w:r>
        <w:t>could be accommodated within the same framework through modality-specific encoders and corresponding attention pathways.</w:t>
      </w:r>
    </w:p>
    <w:p w:rsidR="00B019B3" w:rsidRDefault="00482AE4">
      <w:pPr>
        <w:spacing w:before="80" w:after="40"/>
        <w:jc w:val="both"/>
      </w:pPr>
      <w:r>
        <w:rPr>
          <w:i/>
          <w:iCs/>
        </w:rPr>
        <w:t>E. Eth</w:t>
      </w:r>
      <w:r>
        <w:rPr>
          <w:i/>
          <w:iCs/>
        </w:rPr>
        <w:t>ical Considerations</w:t>
      </w:r>
    </w:p>
    <w:p w:rsidR="00B019B3" w:rsidRDefault="00482AE4">
      <w:pPr>
        <w:spacing w:after="40"/>
        <w:ind w:firstLine="360"/>
        <w:jc w:val="both"/>
      </w:pPr>
      <w:r>
        <w:t>The system is intended as a clinical decision support tool, not an autonomous diagnostic agent. All predictions must be reviewed by qualified clinicians who retain full responsibility for diagnostic and treatment decisions. Deployment i</w:t>
      </w:r>
      <w:r>
        <w:t>n clinical settings must be preceded by rigorous bias auditing across demographic subgroups, including age, sex, race, and socioeconomic status, as disparate performance across patient populations is a documented concern in medical machine learning. Transp</w:t>
      </w:r>
      <w:r>
        <w:t>arency in model behavior is a prerequisite for appropriate clinical trust.</w:t>
      </w:r>
    </w:p>
    <w:p w:rsidR="00B019B3" w:rsidRDefault="00B019B3"/>
    <w:p w:rsidR="00B019B3" w:rsidRDefault="00482AE4">
      <w:pPr>
        <w:spacing w:before="120" w:after="80"/>
        <w:jc w:val="center"/>
      </w:pPr>
      <w:r>
        <w:rPr>
          <w:b/>
          <w:bCs/>
        </w:rPr>
        <w:t>VII. Conclusion</w:t>
      </w:r>
    </w:p>
    <w:p w:rsidR="00B019B3" w:rsidRDefault="00482AE4">
      <w:pPr>
        <w:spacing w:after="40"/>
        <w:ind w:firstLine="360"/>
        <w:jc w:val="both"/>
      </w:pPr>
      <w:r>
        <w:t>This paper introduced a bidirectional cross-modal attention architecture for disease prediction that integrates free-text symptom narratives with structured vital s</w:t>
      </w:r>
      <w:r>
        <w:t>ign measurements. By allowing each modality to attend selectively to the most diagnostically relevant features of the other, the model replicates the integrative reasoning that characterizes expert clinical diagnosis. On a controlled synthetic dataset of 5</w:t>
      </w:r>
      <w:r>
        <w:t xml:space="preserve">,000 cases spanning ten disease categories, the proposed approach achieved perfect classification accuracy with inference latency below 200 </w:t>
      </w:r>
      <w:proofErr w:type="spellStart"/>
      <w:r>
        <w:t>ms.</w:t>
      </w:r>
      <w:proofErr w:type="spellEnd"/>
      <w:r>
        <w:t xml:space="preserve"> Systematic comparisons attributed 21 percentage points of improvement to multimodal data fusion, and a further 1</w:t>
      </w:r>
      <w:r>
        <w:t>6 percentage points specifically to the cross-modal attention mechanism rather than naive feature combination.</w:t>
      </w:r>
    </w:p>
    <w:p w:rsidR="00B019B3" w:rsidRDefault="00482AE4">
      <w:pPr>
        <w:spacing w:after="40"/>
        <w:ind w:firstLine="360"/>
        <w:jc w:val="both"/>
      </w:pPr>
      <w:r>
        <w:t>The perfect classification performance reflects the controlled nature of the synthetic evaluation data and should not be extrapolated to clinical</w:t>
      </w:r>
      <w:r>
        <w:t xml:space="preserve"> practice without further validation. Real-world testing on de-identified electronic health records, robustness evaluation under missing or conflicting data, uncertainty-aware prediction, and prospective clinical trials constitute the necessary path toward</w:t>
      </w:r>
      <w:r>
        <w:t xml:space="preserve"> responsible deployment. The current findings establish architectural feasibility; translating this into clinical utility requires the more demanding evaluations that define rigorous medical AI research.</w:t>
      </w:r>
    </w:p>
    <w:p w:rsidR="00B019B3" w:rsidRDefault="00B019B3"/>
    <w:p w:rsidR="00B019B3" w:rsidRDefault="00482AE4">
      <w:pPr>
        <w:spacing w:before="60" w:after="40"/>
      </w:pPr>
      <w:r>
        <w:rPr>
          <w:b/>
          <w:bCs/>
        </w:rPr>
        <w:t>Acknowledgment</w:t>
      </w:r>
    </w:p>
    <w:p w:rsidR="00B019B3" w:rsidRDefault="00482AE4">
      <w:pPr>
        <w:spacing w:after="40"/>
        <w:ind w:firstLine="360"/>
        <w:jc w:val="both"/>
      </w:pPr>
      <w:r>
        <w:lastRenderedPageBreak/>
        <w:t xml:space="preserve">The authors thank Professor </w:t>
      </w:r>
      <w:proofErr w:type="spellStart"/>
      <w:r>
        <w:t>Sina</w:t>
      </w:r>
      <w:proofErr w:type="spellEnd"/>
      <w:r>
        <w:t xml:space="preserve"> Alp</w:t>
      </w:r>
      <w:r>
        <w:t xml:space="preserve"> for guidance and mentorship throughout this project. Computational resources were provided by Google </w:t>
      </w:r>
      <w:proofErr w:type="spellStart"/>
      <w:r>
        <w:t>Colaboratory</w:t>
      </w:r>
      <w:proofErr w:type="spellEnd"/>
      <w:r>
        <w:t xml:space="preserve"> (NVIDIA T4 GPU). The </w:t>
      </w:r>
      <w:proofErr w:type="spellStart"/>
      <w:r>
        <w:t>BioClinicalBERT</w:t>
      </w:r>
      <w:proofErr w:type="spellEnd"/>
      <w:r>
        <w:t xml:space="preserve"> model was made publicly available through Hugging Face by researchers at MIT, and the authors gratefully</w:t>
      </w:r>
      <w:r>
        <w:t xml:space="preserve"> acknowledge this contribution to open-source medical AI.</w:t>
      </w:r>
    </w:p>
    <w:p w:rsidR="00B019B3" w:rsidRDefault="00B019B3"/>
    <w:p w:rsidR="00B019B3" w:rsidRDefault="00482AE4">
      <w:pPr>
        <w:spacing w:before="60" w:after="40"/>
      </w:pPr>
      <w:r>
        <w:rPr>
          <w:b/>
          <w:bCs/>
        </w:rPr>
        <w:t>References</w:t>
      </w:r>
    </w:p>
    <w:p w:rsidR="00B019B3" w:rsidRDefault="00482AE4">
      <w:pPr>
        <w:spacing w:after="30"/>
        <w:ind w:left="360" w:hanging="360"/>
        <w:jc w:val="both"/>
      </w:pPr>
      <w:r>
        <w:rPr>
          <w:sz w:val="16"/>
          <w:szCs w:val="16"/>
        </w:rPr>
        <w:t>[1]</w:t>
      </w:r>
      <w:r>
        <w:rPr>
          <w:sz w:val="16"/>
          <w:szCs w:val="16"/>
        </w:rPr>
        <w:tab/>
        <w:t xml:space="preserve">A. </w:t>
      </w:r>
      <w:proofErr w:type="spellStart"/>
      <w:r>
        <w:rPr>
          <w:sz w:val="16"/>
          <w:szCs w:val="16"/>
        </w:rPr>
        <w:t>Rajkomar</w:t>
      </w:r>
      <w:proofErr w:type="spellEnd"/>
      <w:r>
        <w:rPr>
          <w:sz w:val="16"/>
          <w:szCs w:val="16"/>
        </w:rPr>
        <w:t xml:space="preserve"> et al., “Scalable and accurate deep learning with electronic health records,” NPJ Digital Medicine, vol. 1, no. 1, p. 18, May 2018.</w:t>
      </w:r>
    </w:p>
    <w:p w:rsidR="00B019B3" w:rsidRDefault="00482AE4">
      <w:pPr>
        <w:spacing w:after="30"/>
        <w:ind w:left="360" w:hanging="360"/>
        <w:jc w:val="both"/>
      </w:pPr>
      <w:r>
        <w:rPr>
          <w:sz w:val="16"/>
          <w:szCs w:val="16"/>
        </w:rPr>
        <w:t>[2]</w:t>
      </w:r>
      <w:r>
        <w:rPr>
          <w:sz w:val="16"/>
          <w:szCs w:val="16"/>
        </w:rPr>
        <w:tab/>
        <w:t xml:space="preserve">E. </w:t>
      </w:r>
      <w:proofErr w:type="spellStart"/>
      <w:r>
        <w:rPr>
          <w:sz w:val="16"/>
          <w:szCs w:val="16"/>
        </w:rPr>
        <w:t>Alsentzer</w:t>
      </w:r>
      <w:proofErr w:type="spellEnd"/>
      <w:r>
        <w:rPr>
          <w:sz w:val="16"/>
          <w:szCs w:val="16"/>
        </w:rPr>
        <w:t xml:space="preserve"> et al., “Publicly ava</w:t>
      </w:r>
      <w:r>
        <w:rPr>
          <w:sz w:val="16"/>
          <w:szCs w:val="16"/>
        </w:rPr>
        <w:t xml:space="preserve">ilable clinical BERT </w:t>
      </w:r>
      <w:proofErr w:type="spellStart"/>
      <w:r>
        <w:rPr>
          <w:sz w:val="16"/>
          <w:szCs w:val="16"/>
        </w:rPr>
        <w:t>embeddings</w:t>
      </w:r>
      <w:proofErr w:type="spellEnd"/>
      <w:r>
        <w:rPr>
          <w:sz w:val="16"/>
          <w:szCs w:val="16"/>
        </w:rPr>
        <w:t>,” in Proc. 2nd Clinical NLP Workshop, Minneapolis, MN, 2019, pp. 72–78.</w:t>
      </w:r>
    </w:p>
    <w:p w:rsidR="00B019B3" w:rsidRDefault="00482AE4">
      <w:pPr>
        <w:spacing w:after="30"/>
        <w:ind w:left="360" w:hanging="360"/>
        <w:jc w:val="both"/>
      </w:pPr>
      <w:r>
        <w:rPr>
          <w:sz w:val="16"/>
          <w:szCs w:val="16"/>
        </w:rPr>
        <w:t>[3]</w:t>
      </w:r>
      <w:r>
        <w:rPr>
          <w:sz w:val="16"/>
          <w:szCs w:val="16"/>
        </w:rPr>
        <w:tab/>
        <w:t xml:space="preserve">K. Huang, J. </w:t>
      </w:r>
      <w:proofErr w:type="spellStart"/>
      <w:r>
        <w:rPr>
          <w:sz w:val="16"/>
          <w:szCs w:val="16"/>
        </w:rPr>
        <w:t>Altosaar</w:t>
      </w:r>
      <w:proofErr w:type="spellEnd"/>
      <w:r>
        <w:rPr>
          <w:sz w:val="16"/>
          <w:szCs w:val="16"/>
        </w:rPr>
        <w:t xml:space="preserve">, and R. </w:t>
      </w:r>
      <w:proofErr w:type="spellStart"/>
      <w:r>
        <w:rPr>
          <w:sz w:val="16"/>
          <w:szCs w:val="16"/>
        </w:rPr>
        <w:t>Ranganath</w:t>
      </w:r>
      <w:proofErr w:type="spellEnd"/>
      <w:r>
        <w:rPr>
          <w:sz w:val="16"/>
          <w:szCs w:val="16"/>
        </w:rPr>
        <w:t>, “</w:t>
      </w:r>
      <w:proofErr w:type="spellStart"/>
      <w:r>
        <w:rPr>
          <w:sz w:val="16"/>
          <w:szCs w:val="16"/>
        </w:rPr>
        <w:t>ClinicalBERT</w:t>
      </w:r>
      <w:proofErr w:type="spellEnd"/>
      <w:r>
        <w:rPr>
          <w:sz w:val="16"/>
          <w:szCs w:val="16"/>
        </w:rPr>
        <w:t>: Modeling clinical notes and predicting hospital readmission,” arXiv:1904.05342, Apr. 2019.</w:t>
      </w:r>
    </w:p>
    <w:p w:rsidR="00B019B3" w:rsidRDefault="00482AE4">
      <w:pPr>
        <w:spacing w:after="30"/>
        <w:ind w:left="360" w:hanging="360"/>
        <w:jc w:val="both"/>
      </w:pPr>
      <w:r>
        <w:rPr>
          <w:sz w:val="16"/>
          <w:szCs w:val="16"/>
        </w:rPr>
        <w:t>[4]</w:t>
      </w:r>
      <w:r>
        <w:rPr>
          <w:sz w:val="16"/>
          <w:szCs w:val="16"/>
        </w:rPr>
        <w:tab/>
        <w:t xml:space="preserve">Y. Peng, S. Yan, and Z. Lu, “Transfer learning in biomedical NLP: An evaluation of BERT and </w:t>
      </w:r>
      <w:proofErr w:type="spellStart"/>
      <w:r>
        <w:rPr>
          <w:sz w:val="16"/>
          <w:szCs w:val="16"/>
        </w:rPr>
        <w:t>ELMo</w:t>
      </w:r>
      <w:proofErr w:type="spellEnd"/>
      <w:r>
        <w:rPr>
          <w:sz w:val="16"/>
          <w:szCs w:val="16"/>
        </w:rPr>
        <w:t xml:space="preserve"> on ten benchmarking datasets,” in Proc. 18th </w:t>
      </w:r>
      <w:proofErr w:type="spellStart"/>
      <w:r>
        <w:rPr>
          <w:sz w:val="16"/>
          <w:szCs w:val="16"/>
        </w:rPr>
        <w:t>BioNLP</w:t>
      </w:r>
      <w:proofErr w:type="spellEnd"/>
      <w:r>
        <w:rPr>
          <w:sz w:val="16"/>
          <w:szCs w:val="16"/>
        </w:rPr>
        <w:t xml:space="preserve"> Workshop, Florence, Italy, 2019, pp. 58–65.</w:t>
      </w:r>
    </w:p>
    <w:p w:rsidR="00B019B3" w:rsidRDefault="00482AE4">
      <w:pPr>
        <w:spacing w:after="30"/>
        <w:ind w:left="360" w:hanging="360"/>
        <w:jc w:val="both"/>
      </w:pPr>
      <w:r>
        <w:rPr>
          <w:sz w:val="16"/>
          <w:szCs w:val="16"/>
        </w:rPr>
        <w:t>[5]</w:t>
      </w:r>
      <w:r>
        <w:rPr>
          <w:sz w:val="16"/>
          <w:szCs w:val="16"/>
        </w:rPr>
        <w:tab/>
        <w:t xml:space="preserve">S. O. Arik and T. </w:t>
      </w:r>
      <w:proofErr w:type="spellStart"/>
      <w:r>
        <w:rPr>
          <w:sz w:val="16"/>
          <w:szCs w:val="16"/>
        </w:rPr>
        <w:t>Pfister</w:t>
      </w:r>
      <w:proofErr w:type="spellEnd"/>
      <w:r>
        <w:rPr>
          <w:sz w:val="16"/>
          <w:szCs w:val="16"/>
        </w:rPr>
        <w:t>, “</w:t>
      </w:r>
      <w:proofErr w:type="spellStart"/>
      <w:r>
        <w:rPr>
          <w:sz w:val="16"/>
          <w:szCs w:val="16"/>
        </w:rPr>
        <w:t>TabNet</w:t>
      </w:r>
      <w:proofErr w:type="spellEnd"/>
      <w:r>
        <w:rPr>
          <w:sz w:val="16"/>
          <w:szCs w:val="16"/>
        </w:rPr>
        <w:t>: Attentive interpret</w:t>
      </w:r>
      <w:r>
        <w:rPr>
          <w:sz w:val="16"/>
          <w:szCs w:val="16"/>
        </w:rPr>
        <w:t xml:space="preserve">able tabular learning,” in Proc. AAAI Conf. </w:t>
      </w:r>
      <w:proofErr w:type="spellStart"/>
      <w:r>
        <w:rPr>
          <w:sz w:val="16"/>
          <w:szCs w:val="16"/>
        </w:rPr>
        <w:t>Artif</w:t>
      </w:r>
      <w:proofErr w:type="spellEnd"/>
      <w:r>
        <w:rPr>
          <w:sz w:val="16"/>
          <w:szCs w:val="16"/>
        </w:rPr>
        <w:t xml:space="preserve">. </w:t>
      </w:r>
      <w:proofErr w:type="spellStart"/>
      <w:r>
        <w:rPr>
          <w:sz w:val="16"/>
          <w:szCs w:val="16"/>
        </w:rPr>
        <w:t>Intell</w:t>
      </w:r>
      <w:proofErr w:type="spellEnd"/>
      <w:r>
        <w:rPr>
          <w:sz w:val="16"/>
          <w:szCs w:val="16"/>
        </w:rPr>
        <w:t>., vol. 35, no. 8, 2021, pp. 6679–6687.</w:t>
      </w:r>
    </w:p>
    <w:p w:rsidR="00B019B3" w:rsidRDefault="00482AE4">
      <w:pPr>
        <w:spacing w:after="30"/>
        <w:ind w:left="360" w:hanging="360"/>
        <w:jc w:val="both"/>
      </w:pPr>
      <w:r>
        <w:rPr>
          <w:sz w:val="16"/>
          <w:szCs w:val="16"/>
        </w:rPr>
        <w:t>[6]</w:t>
      </w:r>
      <w:r>
        <w:rPr>
          <w:sz w:val="16"/>
          <w:szCs w:val="16"/>
        </w:rPr>
        <w:tab/>
        <w:t xml:space="preserve">L. </w:t>
      </w:r>
      <w:proofErr w:type="spellStart"/>
      <w:r>
        <w:rPr>
          <w:sz w:val="16"/>
          <w:szCs w:val="16"/>
        </w:rPr>
        <w:t>Breiman</w:t>
      </w:r>
      <w:proofErr w:type="spellEnd"/>
      <w:r>
        <w:rPr>
          <w:sz w:val="16"/>
          <w:szCs w:val="16"/>
        </w:rPr>
        <w:t>, “Random forests,” Machine Learning, vol. 45, no. 1, pp. 5–32, Oct. 2001.</w:t>
      </w:r>
    </w:p>
    <w:p w:rsidR="00B019B3" w:rsidRDefault="00482AE4">
      <w:pPr>
        <w:spacing w:after="30"/>
        <w:ind w:left="360" w:hanging="360"/>
        <w:jc w:val="both"/>
      </w:pPr>
      <w:r>
        <w:rPr>
          <w:sz w:val="16"/>
          <w:szCs w:val="16"/>
        </w:rPr>
        <w:t>[7]</w:t>
      </w:r>
      <w:r>
        <w:rPr>
          <w:sz w:val="16"/>
          <w:szCs w:val="16"/>
        </w:rPr>
        <w:tab/>
        <w:t xml:space="preserve">T. Chen and C. </w:t>
      </w:r>
      <w:proofErr w:type="spellStart"/>
      <w:r>
        <w:rPr>
          <w:sz w:val="16"/>
          <w:szCs w:val="16"/>
        </w:rPr>
        <w:t>Guestrin</w:t>
      </w:r>
      <w:proofErr w:type="spellEnd"/>
      <w:r>
        <w:rPr>
          <w:sz w:val="16"/>
          <w:szCs w:val="16"/>
        </w:rPr>
        <w:t>, “</w:t>
      </w:r>
      <w:proofErr w:type="spellStart"/>
      <w:r>
        <w:rPr>
          <w:sz w:val="16"/>
          <w:szCs w:val="16"/>
        </w:rPr>
        <w:t>XGBoost</w:t>
      </w:r>
      <w:proofErr w:type="spellEnd"/>
      <w:r>
        <w:rPr>
          <w:sz w:val="16"/>
          <w:szCs w:val="16"/>
        </w:rPr>
        <w:t>: A scalable tree boosting system</w:t>
      </w:r>
      <w:r>
        <w:rPr>
          <w:sz w:val="16"/>
          <w:szCs w:val="16"/>
        </w:rPr>
        <w:t>,” in Proc. 22nd ACM SIGKDD, San Francisco, CA, 2016, pp. 785–794.</w:t>
      </w:r>
    </w:p>
    <w:p w:rsidR="00B019B3" w:rsidRDefault="00482AE4">
      <w:pPr>
        <w:spacing w:after="30"/>
        <w:ind w:left="360" w:hanging="360"/>
        <w:jc w:val="both"/>
      </w:pPr>
      <w:r>
        <w:rPr>
          <w:sz w:val="16"/>
          <w:szCs w:val="16"/>
        </w:rPr>
        <w:t>[8]</w:t>
      </w:r>
      <w:r>
        <w:rPr>
          <w:sz w:val="16"/>
          <w:szCs w:val="16"/>
        </w:rPr>
        <w:tab/>
        <w:t xml:space="preserve">P. </w:t>
      </w:r>
      <w:proofErr w:type="spellStart"/>
      <w:r>
        <w:rPr>
          <w:sz w:val="16"/>
          <w:szCs w:val="16"/>
        </w:rPr>
        <w:t>Rajpurkar</w:t>
      </w:r>
      <w:proofErr w:type="spellEnd"/>
      <w:r>
        <w:rPr>
          <w:sz w:val="16"/>
          <w:szCs w:val="16"/>
        </w:rPr>
        <w:t xml:space="preserve"> et al., “</w:t>
      </w:r>
      <w:proofErr w:type="spellStart"/>
      <w:r>
        <w:rPr>
          <w:sz w:val="16"/>
          <w:szCs w:val="16"/>
        </w:rPr>
        <w:t>CheXNet</w:t>
      </w:r>
      <w:proofErr w:type="spellEnd"/>
      <w:r>
        <w:rPr>
          <w:sz w:val="16"/>
          <w:szCs w:val="16"/>
        </w:rPr>
        <w:t>: Radiologist-level pneumonia detection on chest X-rays with deep learning,” arXiv:1711.05225, Nov. 2017.</w:t>
      </w:r>
    </w:p>
    <w:p w:rsidR="00B019B3" w:rsidRDefault="00482AE4">
      <w:pPr>
        <w:spacing w:after="30"/>
        <w:ind w:left="360" w:hanging="360"/>
        <w:jc w:val="both"/>
      </w:pPr>
      <w:r>
        <w:rPr>
          <w:sz w:val="16"/>
          <w:szCs w:val="16"/>
        </w:rPr>
        <w:t>[9]</w:t>
      </w:r>
      <w:r>
        <w:rPr>
          <w:sz w:val="16"/>
          <w:szCs w:val="16"/>
        </w:rPr>
        <w:tab/>
        <w:t xml:space="preserve">Y. Zhang and Q. Yang, “A survey on multi-task </w:t>
      </w:r>
      <w:r>
        <w:rPr>
          <w:sz w:val="16"/>
          <w:szCs w:val="16"/>
        </w:rPr>
        <w:t xml:space="preserve">learning,” IEEE Trans. </w:t>
      </w:r>
      <w:proofErr w:type="spellStart"/>
      <w:r>
        <w:rPr>
          <w:sz w:val="16"/>
          <w:szCs w:val="16"/>
        </w:rPr>
        <w:t>Knowl</w:t>
      </w:r>
      <w:proofErr w:type="spellEnd"/>
      <w:r>
        <w:rPr>
          <w:sz w:val="16"/>
          <w:szCs w:val="16"/>
        </w:rPr>
        <w:t>. Data Eng., vol. 34, no. 12, pp. 5586–5609, Dec. 2022.</w:t>
      </w:r>
    </w:p>
    <w:p w:rsidR="00B019B3" w:rsidRDefault="00482AE4">
      <w:pPr>
        <w:spacing w:after="30"/>
        <w:ind w:left="360" w:hanging="360"/>
        <w:jc w:val="both"/>
      </w:pPr>
      <w:r>
        <w:rPr>
          <w:sz w:val="16"/>
          <w:szCs w:val="16"/>
        </w:rPr>
        <w:t>[10]</w:t>
      </w:r>
      <w:r>
        <w:rPr>
          <w:sz w:val="16"/>
          <w:szCs w:val="16"/>
        </w:rPr>
        <w:tab/>
        <w:t xml:space="preserve">M. Yao et al., “Multi-modal fusion with deep neural networks for audio-video emotion recognition,” Signal Process.: Image </w:t>
      </w:r>
      <w:proofErr w:type="spellStart"/>
      <w:r>
        <w:rPr>
          <w:sz w:val="16"/>
          <w:szCs w:val="16"/>
        </w:rPr>
        <w:t>Commun</w:t>
      </w:r>
      <w:proofErr w:type="spellEnd"/>
      <w:r>
        <w:rPr>
          <w:sz w:val="16"/>
          <w:szCs w:val="16"/>
        </w:rPr>
        <w:t>., vol. 65, pp. 54–62, Jul. 2018.</w:t>
      </w:r>
    </w:p>
    <w:p w:rsidR="00B019B3" w:rsidRDefault="00482AE4">
      <w:pPr>
        <w:spacing w:after="30"/>
        <w:ind w:left="360" w:hanging="360"/>
        <w:jc w:val="both"/>
      </w:pPr>
      <w:r>
        <w:rPr>
          <w:sz w:val="16"/>
          <w:szCs w:val="16"/>
        </w:rPr>
        <w:t>[11]</w:t>
      </w:r>
      <w:r>
        <w:rPr>
          <w:sz w:val="16"/>
          <w:szCs w:val="16"/>
        </w:rPr>
        <w:tab/>
      </w:r>
      <w:r>
        <w:rPr>
          <w:sz w:val="16"/>
          <w:szCs w:val="16"/>
        </w:rPr>
        <w:t xml:space="preserve">D. </w:t>
      </w:r>
      <w:proofErr w:type="spellStart"/>
      <w:r>
        <w:rPr>
          <w:sz w:val="16"/>
          <w:szCs w:val="16"/>
        </w:rPr>
        <w:t>Ramachandram</w:t>
      </w:r>
      <w:proofErr w:type="spellEnd"/>
      <w:r>
        <w:rPr>
          <w:sz w:val="16"/>
          <w:szCs w:val="16"/>
        </w:rPr>
        <w:t xml:space="preserve"> and G. W. Taylor, “Deep multimodal learning: A survey on recent advances and trends,” IEEE Signal Process. Mag., vol. 34, no. 6, pp. 96–108, Nov. 2017.</w:t>
      </w:r>
    </w:p>
    <w:p w:rsidR="00B019B3" w:rsidRDefault="00482AE4">
      <w:pPr>
        <w:spacing w:after="30"/>
        <w:ind w:left="360" w:hanging="360"/>
        <w:jc w:val="both"/>
      </w:pPr>
      <w:r>
        <w:rPr>
          <w:sz w:val="16"/>
          <w:szCs w:val="16"/>
        </w:rPr>
        <w:t>[12]</w:t>
      </w:r>
      <w:r>
        <w:rPr>
          <w:sz w:val="16"/>
          <w:szCs w:val="16"/>
        </w:rPr>
        <w:tab/>
        <w:t xml:space="preserve">A. </w:t>
      </w:r>
      <w:proofErr w:type="spellStart"/>
      <w:r>
        <w:rPr>
          <w:sz w:val="16"/>
          <w:szCs w:val="16"/>
        </w:rPr>
        <w:t>Vaswani</w:t>
      </w:r>
      <w:proofErr w:type="spellEnd"/>
      <w:r>
        <w:rPr>
          <w:sz w:val="16"/>
          <w:szCs w:val="16"/>
        </w:rPr>
        <w:t xml:space="preserve"> et al., “Attention is all you need,” in Proc. </w:t>
      </w:r>
      <w:proofErr w:type="spellStart"/>
      <w:r>
        <w:rPr>
          <w:sz w:val="16"/>
          <w:szCs w:val="16"/>
        </w:rPr>
        <w:t>NeurIPS</w:t>
      </w:r>
      <w:proofErr w:type="spellEnd"/>
      <w:r>
        <w:rPr>
          <w:sz w:val="16"/>
          <w:szCs w:val="16"/>
        </w:rPr>
        <w:t>, Long Beach, CA, 2</w:t>
      </w:r>
      <w:r>
        <w:rPr>
          <w:sz w:val="16"/>
          <w:szCs w:val="16"/>
        </w:rPr>
        <w:t>017, pp. 6000–6010.</w:t>
      </w:r>
    </w:p>
    <w:p w:rsidR="00B019B3" w:rsidRDefault="00482AE4">
      <w:pPr>
        <w:spacing w:after="30"/>
        <w:ind w:left="360" w:hanging="360"/>
        <w:jc w:val="both"/>
      </w:pPr>
      <w:r>
        <w:rPr>
          <w:sz w:val="16"/>
          <w:szCs w:val="16"/>
        </w:rPr>
        <w:t>[13]</w:t>
      </w:r>
      <w:r>
        <w:rPr>
          <w:sz w:val="16"/>
          <w:szCs w:val="16"/>
        </w:rPr>
        <w:tab/>
        <w:t>J. Devlin et al., “BERT: Pre-training of deep bidirectional transformers for language understanding,” in Proc. NAACL-HLT, Minneapolis, MN, 2019, pp. 4171–4186.</w:t>
      </w:r>
    </w:p>
    <w:p w:rsidR="00B019B3" w:rsidRDefault="00482AE4">
      <w:pPr>
        <w:spacing w:after="30"/>
        <w:ind w:left="360" w:hanging="360"/>
        <w:jc w:val="both"/>
      </w:pPr>
      <w:r>
        <w:rPr>
          <w:sz w:val="16"/>
          <w:szCs w:val="16"/>
        </w:rPr>
        <w:t>[14]</w:t>
      </w:r>
      <w:r>
        <w:rPr>
          <w:sz w:val="16"/>
          <w:szCs w:val="16"/>
        </w:rPr>
        <w:tab/>
        <w:t>A. E. W. Johnson et al., “MIMIC-III, a freely accessible critical care database,” Scientific Data, vol. 3, Art. no. 160035, May 2016.</w:t>
      </w:r>
    </w:p>
    <w:sectPr w:rsidR="00B019B3">
      <w:type w:val="continuous"/>
      <w:pgSz w:w="12240" w:h="15840"/>
      <w:pgMar w:top="864" w:right="1008" w:bottom="1008" w:left="1008"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C064383"/>
    <w:multiLevelType w:val="hybridMultilevel"/>
    <w:tmpl w:val="8696AE3E"/>
    <w:lvl w:ilvl="0" w:tplc="FBFCA7A0">
      <w:start w:val="1"/>
      <w:numFmt w:val="bullet"/>
      <w:lvlText w:val="●"/>
      <w:lvlJc w:val="left"/>
      <w:pPr>
        <w:ind w:left="720" w:hanging="360"/>
      </w:pPr>
    </w:lvl>
    <w:lvl w:ilvl="1" w:tplc="5780533E">
      <w:start w:val="1"/>
      <w:numFmt w:val="bullet"/>
      <w:lvlText w:val="○"/>
      <w:lvlJc w:val="left"/>
      <w:pPr>
        <w:ind w:left="1440" w:hanging="360"/>
      </w:pPr>
    </w:lvl>
    <w:lvl w:ilvl="2" w:tplc="0D2EF622">
      <w:start w:val="1"/>
      <w:numFmt w:val="bullet"/>
      <w:lvlText w:val="■"/>
      <w:lvlJc w:val="left"/>
      <w:pPr>
        <w:ind w:left="2160" w:hanging="360"/>
      </w:pPr>
    </w:lvl>
    <w:lvl w:ilvl="3" w:tplc="1624B12E">
      <w:start w:val="1"/>
      <w:numFmt w:val="bullet"/>
      <w:lvlText w:val="●"/>
      <w:lvlJc w:val="left"/>
      <w:pPr>
        <w:ind w:left="2880" w:hanging="360"/>
      </w:pPr>
    </w:lvl>
    <w:lvl w:ilvl="4" w:tplc="CC32246C">
      <w:start w:val="1"/>
      <w:numFmt w:val="bullet"/>
      <w:lvlText w:val="○"/>
      <w:lvlJc w:val="left"/>
      <w:pPr>
        <w:ind w:left="3600" w:hanging="360"/>
      </w:pPr>
    </w:lvl>
    <w:lvl w:ilvl="5" w:tplc="C86A19C8">
      <w:start w:val="1"/>
      <w:numFmt w:val="bullet"/>
      <w:lvlText w:val="■"/>
      <w:lvlJc w:val="left"/>
      <w:pPr>
        <w:ind w:left="4320" w:hanging="360"/>
      </w:pPr>
    </w:lvl>
    <w:lvl w:ilvl="6" w:tplc="66D6943A">
      <w:start w:val="1"/>
      <w:numFmt w:val="bullet"/>
      <w:lvlText w:val="●"/>
      <w:lvlJc w:val="left"/>
      <w:pPr>
        <w:ind w:left="5040" w:hanging="360"/>
      </w:pPr>
    </w:lvl>
    <w:lvl w:ilvl="7" w:tplc="DA629C46">
      <w:start w:val="1"/>
      <w:numFmt w:val="bullet"/>
      <w:lvlText w:val="●"/>
      <w:lvlJc w:val="left"/>
      <w:pPr>
        <w:ind w:left="5760" w:hanging="360"/>
      </w:pPr>
    </w:lvl>
    <w:lvl w:ilvl="8" w:tplc="C47AF99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19B3"/>
    <w:rsid w:val="002C6CF1"/>
    <w:rsid w:val="00482AE4"/>
    <w:rsid w:val="00B019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1DCF6"/>
  <w15:docId w15:val="{6B81EAFB-587A-40AE-B02C-FAC7193ED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3745</Words>
  <Characters>21350</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 Basit</cp:lastModifiedBy>
  <cp:revision>2</cp:revision>
  <dcterms:created xsi:type="dcterms:W3CDTF">2026-05-09T12:36:00Z</dcterms:created>
  <dcterms:modified xsi:type="dcterms:W3CDTF">2026-05-09T12:36:00Z</dcterms:modified>
</cp:coreProperties>
</file>