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CDDD1" w14:textId="335CC626" w:rsidR="007A7D73" w:rsidRPr="00532098" w:rsidRDefault="007A7D73" w:rsidP="00D91AA0">
      <w:pPr>
        <w:pStyle w:val="Body"/>
        <w:spacing w:before="0" w:after="0" w:line="240" w:lineRule="auto"/>
        <w:rPr>
          <w:rFonts w:asciiTheme="majorBidi" w:hAnsiTheme="majorBidi" w:cstheme="majorBidi"/>
          <w:b/>
          <w:bCs/>
          <w:sz w:val="24"/>
        </w:rPr>
      </w:pPr>
      <w:r w:rsidRPr="00532098">
        <w:rPr>
          <w:rFonts w:asciiTheme="majorBidi" w:hAnsiTheme="majorBidi" w:cstheme="majorBidi"/>
          <w:b/>
          <w:bCs/>
          <w:sz w:val="24"/>
        </w:rPr>
        <w:t xml:space="preserve">Kinetics of SARS-CoV-2 Shedding </w:t>
      </w:r>
      <w:r w:rsidRPr="00532098">
        <w:rPr>
          <w:rFonts w:asciiTheme="majorBidi" w:hAnsiTheme="majorBidi" w:cstheme="majorBidi"/>
          <w:b/>
          <w:bCs/>
          <w:sz w:val="24"/>
          <w:u w:val="single"/>
        </w:rPr>
        <w:t>i</w:t>
      </w:r>
      <w:r w:rsidRPr="00532098">
        <w:rPr>
          <w:rFonts w:asciiTheme="majorBidi" w:hAnsiTheme="majorBidi" w:cstheme="majorBidi"/>
          <w:b/>
          <w:bCs/>
          <w:sz w:val="24"/>
        </w:rPr>
        <w:t xml:space="preserve">n </w:t>
      </w:r>
      <w:r w:rsidRPr="00532098">
        <w:rPr>
          <w:rFonts w:asciiTheme="majorBidi" w:hAnsiTheme="majorBidi" w:cstheme="majorBidi"/>
          <w:b/>
          <w:bCs/>
          <w:i/>
          <w:iCs/>
          <w:sz w:val="24"/>
          <w:u w:val="single"/>
        </w:rPr>
        <w:t>N</w:t>
      </w:r>
      <w:r w:rsidRPr="00532098">
        <w:rPr>
          <w:rFonts w:asciiTheme="majorBidi" w:hAnsiTheme="majorBidi" w:cstheme="majorBidi"/>
          <w:b/>
          <w:bCs/>
          <w:sz w:val="24"/>
        </w:rPr>
        <w:t xml:space="preserve">ursing </w:t>
      </w:r>
      <w:r w:rsidRPr="00532098">
        <w:rPr>
          <w:rFonts w:asciiTheme="majorBidi" w:hAnsiTheme="majorBidi" w:cstheme="majorBidi"/>
          <w:b/>
          <w:bCs/>
          <w:i/>
          <w:iCs/>
          <w:sz w:val="24"/>
          <w:u w:val="single"/>
        </w:rPr>
        <w:t>H</w:t>
      </w:r>
      <w:r w:rsidRPr="00532098">
        <w:rPr>
          <w:rFonts w:asciiTheme="majorBidi" w:hAnsiTheme="majorBidi" w:cstheme="majorBidi"/>
          <w:b/>
          <w:bCs/>
          <w:sz w:val="24"/>
        </w:rPr>
        <w:t>om</w:t>
      </w:r>
      <w:r w:rsidRPr="00532098">
        <w:rPr>
          <w:rFonts w:asciiTheme="majorBidi" w:hAnsiTheme="majorBidi" w:cstheme="majorBidi"/>
          <w:b/>
          <w:bCs/>
          <w:i/>
          <w:iCs/>
          <w:sz w:val="24"/>
          <w:u w:val="single"/>
        </w:rPr>
        <w:t>e</w:t>
      </w:r>
      <w:r w:rsidRPr="00532098">
        <w:rPr>
          <w:rFonts w:asciiTheme="majorBidi" w:hAnsiTheme="majorBidi" w:cstheme="majorBidi"/>
          <w:b/>
          <w:bCs/>
          <w:sz w:val="24"/>
        </w:rPr>
        <w:t xml:space="preserve"> Staff and </w:t>
      </w:r>
      <w:r w:rsidRPr="00532098">
        <w:rPr>
          <w:rFonts w:asciiTheme="majorBidi" w:hAnsiTheme="majorBidi" w:cstheme="majorBidi"/>
          <w:b/>
          <w:bCs/>
          <w:i/>
          <w:iCs/>
          <w:sz w:val="24"/>
          <w:u w:val="single"/>
        </w:rPr>
        <w:t>R</w:t>
      </w:r>
      <w:r w:rsidRPr="00532098">
        <w:rPr>
          <w:rFonts w:asciiTheme="majorBidi" w:hAnsiTheme="majorBidi" w:cstheme="majorBidi"/>
          <w:b/>
          <w:bCs/>
          <w:sz w:val="24"/>
        </w:rPr>
        <w:t>esid</w:t>
      </w:r>
      <w:r w:rsidRPr="00532098">
        <w:rPr>
          <w:rFonts w:asciiTheme="majorBidi" w:hAnsiTheme="majorBidi" w:cstheme="majorBidi"/>
          <w:b/>
          <w:bCs/>
          <w:i/>
          <w:iCs/>
          <w:sz w:val="24"/>
          <w:u w:val="single"/>
        </w:rPr>
        <w:t>ent</w:t>
      </w:r>
      <w:r w:rsidRPr="00532098">
        <w:rPr>
          <w:rFonts w:asciiTheme="majorBidi" w:hAnsiTheme="majorBidi" w:cstheme="majorBidi"/>
          <w:b/>
          <w:bCs/>
          <w:sz w:val="24"/>
        </w:rPr>
        <w:t xml:space="preserve">s (INHERENT) Study </w:t>
      </w:r>
    </w:p>
    <w:p w14:paraId="35A0D8E0" w14:textId="77777777" w:rsidR="007A7D73" w:rsidRPr="00532098" w:rsidRDefault="007A7D73" w:rsidP="00D91AA0">
      <w:pPr>
        <w:spacing w:after="0" w:line="240" w:lineRule="auto"/>
        <w:rPr>
          <w:rFonts w:asciiTheme="majorBidi" w:hAnsiTheme="majorBidi" w:cstheme="majorBidi"/>
          <w:sz w:val="24"/>
          <w:szCs w:val="24"/>
        </w:rPr>
      </w:pPr>
    </w:p>
    <w:p w14:paraId="5ED75924" w14:textId="68A25A03" w:rsidR="00A55B18" w:rsidRPr="00532098" w:rsidRDefault="57B57D8F"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The INHERENT study was conducted as part of the Nursing Home Public Health Response Network (</w:t>
      </w:r>
      <w:bookmarkStart w:id="0" w:name="_Int_tg9MF9ft"/>
      <w:r w:rsidRPr="1AFACCD6">
        <w:rPr>
          <w:rFonts w:asciiTheme="majorBidi" w:hAnsiTheme="majorBidi" w:cstheme="majorBidi"/>
          <w:sz w:val="24"/>
          <w:szCs w:val="24"/>
        </w:rPr>
        <w:t>NH</w:t>
      </w:r>
      <w:bookmarkEnd w:id="0"/>
      <w:r w:rsidRPr="1AFACCD6">
        <w:rPr>
          <w:rFonts w:asciiTheme="majorBidi" w:hAnsiTheme="majorBidi" w:cstheme="majorBidi"/>
          <w:sz w:val="24"/>
          <w:szCs w:val="24"/>
        </w:rPr>
        <w:t xml:space="preserve"> PHRN)</w:t>
      </w:r>
      <w:r w:rsidR="5D5F81F1" w:rsidRPr="1AFACCD6">
        <w:rPr>
          <w:rFonts w:asciiTheme="majorBidi" w:hAnsiTheme="majorBidi" w:cstheme="majorBidi"/>
          <w:sz w:val="24"/>
          <w:szCs w:val="24"/>
        </w:rPr>
        <w:t>. The NH PHRN</w:t>
      </w:r>
      <w:r w:rsidRPr="1AFACCD6">
        <w:rPr>
          <w:rFonts w:asciiTheme="majorBidi" w:hAnsiTheme="majorBidi" w:cstheme="majorBidi"/>
          <w:sz w:val="24"/>
          <w:szCs w:val="24"/>
        </w:rPr>
        <w:t xml:space="preserve"> serves as a national public health research and surveillance network and is composed </w:t>
      </w:r>
      <w:r w:rsidR="5D5F81F1" w:rsidRPr="1AFACCD6">
        <w:rPr>
          <w:rFonts w:asciiTheme="majorBidi" w:hAnsiTheme="majorBidi" w:cstheme="majorBidi"/>
          <w:sz w:val="24"/>
          <w:szCs w:val="24"/>
        </w:rPr>
        <w:t xml:space="preserve">of </w:t>
      </w:r>
      <w:r w:rsidRPr="1AFACCD6">
        <w:rPr>
          <w:rFonts w:asciiTheme="majorBidi" w:hAnsiTheme="majorBidi" w:cstheme="majorBidi"/>
          <w:sz w:val="24"/>
          <w:szCs w:val="24"/>
        </w:rPr>
        <w:t>a diverse network of academic sites</w:t>
      </w:r>
      <w:r w:rsidR="171D938F" w:rsidRPr="1AFACCD6">
        <w:rPr>
          <w:rFonts w:asciiTheme="majorBidi" w:hAnsiTheme="majorBidi" w:cstheme="majorBidi"/>
          <w:sz w:val="24"/>
          <w:szCs w:val="24"/>
        </w:rPr>
        <w:t xml:space="preserve"> that have nursing homes across the United States (U.S.) within their network.</w:t>
      </w:r>
      <w:r w:rsidRPr="1AFACCD6">
        <w:rPr>
          <w:rFonts w:asciiTheme="majorBidi" w:hAnsiTheme="majorBidi" w:cstheme="majorBidi"/>
          <w:sz w:val="24"/>
          <w:szCs w:val="24"/>
        </w:rPr>
        <w:t xml:space="preserve"> Established in September 2022, the NH PHRN includes eight U.S.-based academic institutions (study sites) with expertise in NH research. Working within their existing NH research networks, each study site identified </w:t>
      </w:r>
      <w:bookmarkStart w:id="1" w:name="_Int_vKmZ9tZD"/>
      <w:r w:rsidRPr="1AFACCD6">
        <w:rPr>
          <w:rFonts w:asciiTheme="majorBidi" w:hAnsiTheme="majorBidi" w:cstheme="majorBidi"/>
          <w:sz w:val="24"/>
          <w:szCs w:val="24"/>
        </w:rPr>
        <w:t>NHs</w:t>
      </w:r>
      <w:bookmarkEnd w:id="1"/>
      <w:r w:rsidRPr="1AFACCD6">
        <w:rPr>
          <w:rFonts w:asciiTheme="majorBidi" w:hAnsiTheme="majorBidi" w:cstheme="majorBidi"/>
          <w:sz w:val="24"/>
          <w:szCs w:val="24"/>
        </w:rPr>
        <w:t xml:space="preserve"> willing to participate in the national NH PHRN. </w:t>
      </w:r>
      <w:r w:rsidR="171D938F" w:rsidRPr="1AFACCD6">
        <w:rPr>
          <w:rFonts w:asciiTheme="majorBidi" w:hAnsiTheme="majorBidi" w:cstheme="majorBidi"/>
          <w:sz w:val="24"/>
          <w:szCs w:val="24"/>
        </w:rPr>
        <w:t>There are currently eighty-seven nursing homes participating in the NH</w:t>
      </w:r>
      <w:r w:rsidR="00380BCF" w:rsidRPr="1AFACCD6">
        <w:rPr>
          <w:rFonts w:asciiTheme="majorBidi" w:hAnsiTheme="majorBidi" w:cstheme="majorBidi"/>
          <w:sz w:val="24"/>
          <w:szCs w:val="24"/>
        </w:rPr>
        <w:t xml:space="preserve"> </w:t>
      </w:r>
      <w:r w:rsidR="171D938F" w:rsidRPr="1AFACCD6">
        <w:rPr>
          <w:rFonts w:asciiTheme="majorBidi" w:hAnsiTheme="majorBidi" w:cstheme="majorBidi"/>
          <w:sz w:val="24"/>
          <w:szCs w:val="24"/>
        </w:rPr>
        <w:t>PHRN network, though not all nursing homes participated in the INHERENT study</w:t>
      </w:r>
      <w:r w:rsidR="006A6590" w:rsidRPr="1AFACCD6">
        <w:rPr>
          <w:rFonts w:asciiTheme="majorBidi" w:hAnsiTheme="majorBidi" w:cstheme="majorBidi"/>
          <w:sz w:val="24"/>
          <w:szCs w:val="24"/>
        </w:rPr>
        <w:t xml:space="preserve">. </w:t>
      </w:r>
      <w:r w:rsidRPr="1AFACCD6">
        <w:rPr>
          <w:rFonts w:asciiTheme="majorBidi" w:hAnsiTheme="majorBidi" w:cstheme="majorBidi"/>
          <w:sz w:val="24"/>
          <w:szCs w:val="24"/>
        </w:rPr>
        <w:t>The NH PHRN is funded by the U.S. Centers for Disease Control and Prevention (</w:t>
      </w:r>
      <w:bookmarkStart w:id="2" w:name="_Int_wykRnxrC"/>
      <w:r w:rsidRPr="1AFACCD6">
        <w:rPr>
          <w:rFonts w:asciiTheme="majorBidi" w:hAnsiTheme="majorBidi" w:cstheme="majorBidi"/>
          <w:sz w:val="24"/>
          <w:szCs w:val="24"/>
        </w:rPr>
        <w:t>CDC</w:t>
      </w:r>
      <w:bookmarkEnd w:id="2"/>
      <w:r w:rsidRPr="1AFACCD6">
        <w:rPr>
          <w:rFonts w:asciiTheme="majorBidi" w:hAnsiTheme="majorBidi" w:cstheme="majorBidi"/>
          <w:sz w:val="24"/>
          <w:szCs w:val="24"/>
        </w:rPr>
        <w:t>; contract number 75D30121D12704).</w:t>
      </w:r>
    </w:p>
    <w:p w14:paraId="2588ADF6" w14:textId="77777777" w:rsidR="00D91AA0" w:rsidRPr="00532098" w:rsidRDefault="00D91AA0" w:rsidP="00D91AA0">
      <w:pPr>
        <w:spacing w:after="0" w:line="240" w:lineRule="auto"/>
        <w:rPr>
          <w:rFonts w:asciiTheme="majorBidi" w:hAnsiTheme="majorBidi" w:cstheme="majorBidi"/>
          <w:sz w:val="24"/>
          <w:szCs w:val="24"/>
        </w:rPr>
      </w:pPr>
    </w:p>
    <w:p w14:paraId="02704245" w14:textId="071CF436" w:rsidR="00D91AA0" w:rsidRPr="00532098" w:rsidRDefault="00D91AA0" w:rsidP="00D91AA0">
      <w:pPr>
        <w:pStyle w:val="Body"/>
        <w:spacing w:before="0" w:after="0" w:line="240" w:lineRule="auto"/>
        <w:rPr>
          <w:rFonts w:asciiTheme="majorBidi" w:hAnsiTheme="majorBidi" w:cstheme="majorBidi"/>
          <w:sz w:val="24"/>
        </w:rPr>
      </w:pPr>
      <w:r w:rsidRPr="00532098">
        <w:rPr>
          <w:rFonts w:asciiTheme="majorBidi" w:hAnsiTheme="majorBidi" w:cstheme="majorBidi"/>
          <w:sz w:val="24"/>
        </w:rPr>
        <w:t xml:space="preserve">The studies objectives were: </w:t>
      </w:r>
    </w:p>
    <w:p w14:paraId="27AB0811" w14:textId="0109AE5C" w:rsidR="00D91AA0" w:rsidRPr="00532098" w:rsidRDefault="60E9A11B" w:rsidP="1AFACCD6">
      <w:pPr>
        <w:pStyle w:val="Body"/>
        <w:numPr>
          <w:ilvl w:val="0"/>
          <w:numId w:val="1"/>
        </w:numPr>
        <w:spacing w:before="0" w:after="0" w:line="240" w:lineRule="auto"/>
        <w:rPr>
          <w:rFonts w:asciiTheme="majorBidi" w:hAnsiTheme="majorBidi" w:cstheme="majorBidi"/>
          <w:sz w:val="24"/>
        </w:rPr>
      </w:pPr>
      <w:r w:rsidRPr="1AFACCD6">
        <w:rPr>
          <w:rFonts w:asciiTheme="majorBidi" w:hAnsiTheme="majorBidi" w:cstheme="majorBidi"/>
          <w:b/>
          <w:bCs/>
          <w:i/>
          <w:iCs/>
          <w:color w:val="000000" w:themeColor="text1"/>
          <w:sz w:val="24"/>
        </w:rPr>
        <w:t>Primary objective</w:t>
      </w:r>
      <w:r w:rsidRPr="1AFACCD6">
        <w:rPr>
          <w:rFonts w:asciiTheme="majorBidi" w:hAnsiTheme="majorBidi" w:cstheme="majorBidi"/>
          <w:b/>
          <w:bCs/>
          <w:color w:val="000000" w:themeColor="text1"/>
          <w:sz w:val="24"/>
        </w:rPr>
        <w:t xml:space="preserve">: </w:t>
      </w:r>
      <w:r w:rsidRPr="1AFACCD6">
        <w:rPr>
          <w:rFonts w:asciiTheme="majorBidi" w:hAnsiTheme="majorBidi" w:cstheme="majorBidi"/>
          <w:color w:val="000000" w:themeColor="text1"/>
          <w:sz w:val="24"/>
        </w:rPr>
        <w:t xml:space="preserve">Characterize the kinetics of SARS-CoV-2 shedding including proliferation, peak, and clearance using qRT-PCR, antigen testing, genetic sequencing, and culture among NH residents and staff using different testing approaches and examine the influence of </w:t>
      </w:r>
      <w:bookmarkStart w:id="3" w:name="_Int_VTwuFipW"/>
      <w:r w:rsidRPr="1AFACCD6">
        <w:rPr>
          <w:rFonts w:asciiTheme="majorBidi" w:hAnsiTheme="majorBidi" w:cstheme="majorBidi"/>
          <w:color w:val="000000" w:themeColor="text1"/>
          <w:sz w:val="24"/>
        </w:rPr>
        <w:t>different factors</w:t>
      </w:r>
      <w:bookmarkEnd w:id="3"/>
      <w:r w:rsidRPr="1AFACCD6">
        <w:rPr>
          <w:rFonts w:asciiTheme="majorBidi" w:hAnsiTheme="majorBidi" w:cstheme="majorBidi"/>
          <w:color w:val="000000" w:themeColor="text1"/>
          <w:sz w:val="24"/>
        </w:rPr>
        <w:t xml:space="preserve"> including participant characteristics (</w:t>
      </w:r>
      <w:r w:rsidR="18D8387E" w:rsidRPr="1AFACCD6">
        <w:rPr>
          <w:rFonts w:asciiTheme="majorBidi" w:hAnsiTheme="majorBidi" w:cstheme="majorBidi"/>
          <w:color w:val="000000" w:themeColor="text1"/>
          <w:sz w:val="24"/>
        </w:rPr>
        <w:t>e.g.,</w:t>
      </w:r>
      <w:r w:rsidRPr="1AFACCD6">
        <w:rPr>
          <w:rFonts w:asciiTheme="majorBidi" w:hAnsiTheme="majorBidi" w:cstheme="majorBidi"/>
          <w:color w:val="000000" w:themeColor="text1"/>
          <w:sz w:val="24"/>
        </w:rPr>
        <w:t xml:space="preserve"> vaccination status, prior infection, symptom status, receipt of treatment) and circulating variant.</w:t>
      </w:r>
      <w:r w:rsidRPr="1AFACCD6">
        <w:rPr>
          <w:rFonts w:asciiTheme="majorBidi" w:hAnsiTheme="majorBidi" w:cstheme="majorBidi"/>
          <w:b/>
          <w:bCs/>
          <w:color w:val="000000" w:themeColor="text1"/>
          <w:sz w:val="24"/>
        </w:rPr>
        <w:t xml:space="preserve"> </w:t>
      </w:r>
    </w:p>
    <w:p w14:paraId="67613417" w14:textId="77777777" w:rsidR="00D91AA0" w:rsidRPr="00532098" w:rsidRDefault="00D91AA0" w:rsidP="00D91AA0">
      <w:pPr>
        <w:pStyle w:val="Body"/>
        <w:numPr>
          <w:ilvl w:val="0"/>
          <w:numId w:val="1"/>
        </w:numPr>
        <w:spacing w:before="0" w:after="0" w:line="240" w:lineRule="auto"/>
        <w:rPr>
          <w:rFonts w:asciiTheme="majorBidi" w:hAnsiTheme="majorBidi" w:cstheme="majorBidi"/>
          <w:b/>
          <w:bCs/>
          <w:sz w:val="24"/>
        </w:rPr>
      </w:pPr>
      <w:r w:rsidRPr="00532098">
        <w:rPr>
          <w:rFonts w:asciiTheme="majorBidi" w:hAnsiTheme="majorBidi" w:cstheme="majorBidi"/>
          <w:b/>
          <w:bCs/>
          <w:i/>
          <w:iCs/>
          <w:sz w:val="24"/>
        </w:rPr>
        <w:t xml:space="preserve">Sub-study objective: </w:t>
      </w:r>
      <w:r w:rsidRPr="00532098">
        <w:rPr>
          <w:rFonts w:asciiTheme="majorBidi" w:hAnsiTheme="majorBidi" w:cstheme="majorBidi"/>
          <w:sz w:val="24"/>
        </w:rPr>
        <w:t>Assess the long-term (</w:t>
      </w:r>
      <w:r w:rsidRPr="00532098">
        <w:rPr>
          <w:rFonts w:asciiTheme="majorBidi" w:hAnsiTheme="majorBidi" w:cstheme="majorBidi"/>
          <w:sz w:val="24"/>
          <w:u w:val="single"/>
        </w:rPr>
        <w:t>&gt;</w:t>
      </w:r>
      <w:r w:rsidRPr="00532098">
        <w:rPr>
          <w:rFonts w:asciiTheme="majorBidi" w:hAnsiTheme="majorBidi" w:cstheme="majorBidi"/>
          <w:sz w:val="24"/>
        </w:rPr>
        <w:t xml:space="preserve">14 days) duration of </w:t>
      </w:r>
      <w:bookmarkStart w:id="4" w:name="_Hlk159666777"/>
      <w:r w:rsidRPr="00532098">
        <w:rPr>
          <w:rFonts w:asciiTheme="majorBidi" w:hAnsiTheme="majorBidi" w:cstheme="majorBidi"/>
          <w:sz w:val="24"/>
        </w:rPr>
        <w:t xml:space="preserve">SARS-CoV-2 positivity </w:t>
      </w:r>
      <w:bookmarkEnd w:id="4"/>
      <w:r w:rsidRPr="00532098">
        <w:rPr>
          <w:rFonts w:asciiTheme="majorBidi" w:hAnsiTheme="majorBidi" w:cstheme="majorBidi"/>
          <w:sz w:val="24"/>
        </w:rPr>
        <w:t>using</w:t>
      </w:r>
      <w:r w:rsidRPr="00532098">
        <w:rPr>
          <w:rFonts w:asciiTheme="majorBidi" w:hAnsiTheme="majorBidi" w:cstheme="majorBidi"/>
          <w:color w:val="000000" w:themeColor="text1"/>
          <w:sz w:val="24"/>
        </w:rPr>
        <w:t xml:space="preserve"> qRT-PCR, antigen testing, genetic sequencing, and culture</w:t>
      </w:r>
      <w:r w:rsidRPr="00532098">
        <w:rPr>
          <w:rFonts w:asciiTheme="majorBidi" w:hAnsiTheme="majorBidi" w:cstheme="majorBidi"/>
          <w:sz w:val="24"/>
        </w:rPr>
        <w:t>.</w:t>
      </w:r>
      <w:r w:rsidRPr="00532098">
        <w:rPr>
          <w:rFonts w:asciiTheme="majorBidi" w:hAnsiTheme="majorBidi" w:cstheme="majorBidi"/>
          <w:b/>
          <w:bCs/>
          <w:sz w:val="24"/>
        </w:rPr>
        <w:t xml:space="preserve"> </w:t>
      </w:r>
    </w:p>
    <w:p w14:paraId="07E247FD" w14:textId="77777777" w:rsidR="000154B5" w:rsidRPr="00532098" w:rsidRDefault="000154B5" w:rsidP="000154B5">
      <w:pPr>
        <w:pStyle w:val="Body"/>
        <w:spacing w:before="0" w:after="0" w:line="240" w:lineRule="auto"/>
        <w:rPr>
          <w:rFonts w:asciiTheme="majorBidi" w:hAnsiTheme="majorBidi" w:cstheme="majorBidi"/>
          <w:b/>
          <w:bCs/>
          <w:i/>
          <w:iCs/>
          <w:sz w:val="24"/>
        </w:rPr>
      </w:pPr>
    </w:p>
    <w:p w14:paraId="25BE44E0" w14:textId="4160FB65" w:rsidR="00842EB0" w:rsidRPr="00842EB0" w:rsidRDefault="00842EB0" w:rsidP="1AFACCD6">
      <w:pPr>
        <w:pStyle w:val="Body"/>
        <w:spacing w:before="0" w:after="0" w:line="240" w:lineRule="auto"/>
        <w:rPr>
          <w:rFonts w:asciiTheme="majorBidi" w:hAnsiTheme="majorBidi" w:cstheme="majorBidi"/>
          <w:sz w:val="24"/>
          <w:u w:val="single"/>
        </w:rPr>
      </w:pPr>
      <w:r w:rsidRPr="1AFACCD6">
        <w:rPr>
          <w:rFonts w:asciiTheme="majorBidi" w:hAnsiTheme="majorBidi" w:cstheme="majorBidi"/>
          <w:sz w:val="24"/>
          <w:u w:val="single"/>
        </w:rPr>
        <w:t>Enrollment</w:t>
      </w:r>
    </w:p>
    <w:p w14:paraId="50F3BD63" w14:textId="77777777" w:rsidR="00842EB0" w:rsidRDefault="00842EB0" w:rsidP="000154B5">
      <w:pPr>
        <w:pStyle w:val="Body"/>
        <w:spacing w:before="0" w:after="0" w:line="240" w:lineRule="auto"/>
        <w:rPr>
          <w:rFonts w:asciiTheme="majorBidi" w:hAnsiTheme="majorBidi" w:cstheme="majorBidi"/>
          <w:sz w:val="24"/>
        </w:rPr>
      </w:pPr>
    </w:p>
    <w:p w14:paraId="409DC04B" w14:textId="13006C9A" w:rsidR="00424FC7" w:rsidRDefault="171D938F" w:rsidP="1AFACCD6">
      <w:pPr>
        <w:pStyle w:val="Body"/>
        <w:spacing w:before="0" w:after="0" w:line="240" w:lineRule="auto"/>
        <w:rPr>
          <w:rFonts w:asciiTheme="majorBidi" w:hAnsiTheme="majorBidi" w:cstheme="majorBidi"/>
          <w:sz w:val="24"/>
        </w:rPr>
      </w:pPr>
      <w:r w:rsidRPr="1AFACCD6">
        <w:rPr>
          <w:rFonts w:asciiTheme="majorBidi" w:hAnsiTheme="majorBidi" w:cstheme="majorBidi"/>
          <w:sz w:val="24"/>
        </w:rPr>
        <w:t>Each of the eight study sites identified nursing homes to participate in the network</w:t>
      </w:r>
      <w:r w:rsidR="006A6590" w:rsidRPr="1AFACCD6">
        <w:rPr>
          <w:rFonts w:asciiTheme="majorBidi" w:hAnsiTheme="majorBidi" w:cstheme="majorBidi"/>
          <w:sz w:val="24"/>
        </w:rPr>
        <w:t xml:space="preserve">. </w:t>
      </w:r>
      <w:r w:rsidRPr="1AFACCD6">
        <w:rPr>
          <w:rFonts w:asciiTheme="majorBidi" w:hAnsiTheme="majorBidi" w:cstheme="majorBidi"/>
          <w:sz w:val="24"/>
        </w:rPr>
        <w:t xml:space="preserve">There are currently eighty-seven nursing homes participating in the </w:t>
      </w:r>
      <w:r w:rsidR="00380BCF" w:rsidRPr="1AFACCD6">
        <w:rPr>
          <w:rFonts w:asciiTheme="majorBidi" w:hAnsiTheme="majorBidi" w:cstheme="majorBidi"/>
          <w:sz w:val="24"/>
        </w:rPr>
        <w:t xml:space="preserve">full </w:t>
      </w:r>
      <w:r w:rsidRPr="1AFACCD6">
        <w:rPr>
          <w:rFonts w:asciiTheme="majorBidi" w:hAnsiTheme="majorBidi" w:cstheme="majorBidi"/>
          <w:sz w:val="24"/>
        </w:rPr>
        <w:t>NH</w:t>
      </w:r>
      <w:r w:rsidR="680CE499" w:rsidRPr="1AFACCD6">
        <w:rPr>
          <w:rFonts w:asciiTheme="majorBidi" w:hAnsiTheme="majorBidi" w:cstheme="majorBidi"/>
          <w:sz w:val="24"/>
        </w:rPr>
        <w:t xml:space="preserve"> </w:t>
      </w:r>
      <w:r w:rsidRPr="1AFACCD6">
        <w:rPr>
          <w:rFonts w:asciiTheme="majorBidi" w:hAnsiTheme="majorBidi" w:cstheme="majorBidi"/>
          <w:sz w:val="24"/>
        </w:rPr>
        <w:t>PHRN network</w:t>
      </w:r>
      <w:r w:rsidR="006A6590" w:rsidRPr="1AFACCD6">
        <w:rPr>
          <w:rFonts w:asciiTheme="majorBidi" w:hAnsiTheme="majorBidi" w:cstheme="majorBidi"/>
          <w:sz w:val="24"/>
        </w:rPr>
        <w:t xml:space="preserve">. </w:t>
      </w:r>
      <w:r w:rsidRPr="1AFACCD6">
        <w:rPr>
          <w:rFonts w:asciiTheme="majorBidi" w:hAnsiTheme="majorBidi" w:cstheme="majorBidi"/>
          <w:sz w:val="24"/>
        </w:rPr>
        <w:t>A subset of the nursing homes</w:t>
      </w:r>
      <w:r w:rsidR="00380BCF" w:rsidRPr="1AFACCD6">
        <w:rPr>
          <w:rFonts w:asciiTheme="majorBidi" w:hAnsiTheme="majorBidi" w:cstheme="majorBidi"/>
          <w:sz w:val="24"/>
        </w:rPr>
        <w:t xml:space="preserve"> in the full NH PHRN network</w:t>
      </w:r>
      <w:r w:rsidRPr="1AFACCD6">
        <w:rPr>
          <w:rFonts w:asciiTheme="majorBidi" w:hAnsiTheme="majorBidi" w:cstheme="majorBidi"/>
          <w:sz w:val="24"/>
        </w:rPr>
        <w:t xml:space="preserve"> were recruited to participate in the INHERENT study</w:t>
      </w:r>
      <w:r w:rsidR="00380BCF" w:rsidRPr="1AFACCD6">
        <w:rPr>
          <w:rFonts w:asciiTheme="majorBidi" w:hAnsiTheme="majorBidi" w:cstheme="majorBidi"/>
          <w:sz w:val="24"/>
        </w:rPr>
        <w:t xml:space="preserve"> (</w:t>
      </w:r>
      <w:r w:rsidR="49E6B99E" w:rsidRPr="1AFACCD6">
        <w:rPr>
          <w:rFonts w:asciiTheme="majorBidi" w:hAnsiTheme="majorBidi" w:cstheme="majorBidi"/>
          <w:sz w:val="24"/>
        </w:rPr>
        <w:t xml:space="preserve">twenty-four </w:t>
      </w:r>
      <w:r w:rsidR="00380BCF" w:rsidRPr="1AFACCD6">
        <w:rPr>
          <w:rFonts w:asciiTheme="majorBidi" w:hAnsiTheme="majorBidi" w:cstheme="majorBidi"/>
          <w:sz w:val="24"/>
        </w:rPr>
        <w:t>total).</w:t>
      </w:r>
    </w:p>
    <w:p w14:paraId="09D861A4" w14:textId="77777777" w:rsidR="00380BCF" w:rsidRDefault="00380BCF" w:rsidP="1AFACCD6">
      <w:pPr>
        <w:pStyle w:val="Body"/>
        <w:spacing w:before="0" w:after="0" w:line="240" w:lineRule="auto"/>
        <w:rPr>
          <w:rFonts w:asciiTheme="majorBidi" w:hAnsiTheme="majorBidi" w:cstheme="majorBidi"/>
          <w:sz w:val="24"/>
        </w:rPr>
      </w:pPr>
    </w:p>
    <w:p w14:paraId="15C3A503" w14:textId="251BC2C9" w:rsidR="00852916" w:rsidRDefault="3068F9E4" w:rsidP="1AFACCD6">
      <w:pPr>
        <w:pStyle w:val="Body"/>
        <w:spacing w:before="0" w:after="0" w:line="240" w:lineRule="auto"/>
        <w:rPr>
          <w:rFonts w:asciiTheme="majorBidi" w:hAnsiTheme="majorBidi" w:cstheme="majorBidi"/>
          <w:sz w:val="24"/>
        </w:rPr>
      </w:pPr>
      <w:r w:rsidRPr="1AFACCD6">
        <w:rPr>
          <w:rFonts w:asciiTheme="majorBidi" w:hAnsiTheme="majorBidi" w:cstheme="majorBidi"/>
          <w:sz w:val="24"/>
        </w:rPr>
        <w:t>Residents [</w:t>
      </w:r>
      <w:r w:rsidR="7C1FA5B1" w:rsidRPr="1AFACCD6">
        <w:rPr>
          <w:rFonts w:asciiTheme="majorBidi" w:hAnsiTheme="majorBidi" w:cstheme="majorBidi"/>
          <w:sz w:val="24"/>
        </w:rPr>
        <w:t xml:space="preserve">or their </w:t>
      </w:r>
      <w:r w:rsidR="30796B82" w:rsidRPr="1AFACCD6">
        <w:rPr>
          <w:rFonts w:asciiTheme="majorBidi" w:hAnsiTheme="majorBidi" w:cstheme="majorBidi"/>
          <w:sz w:val="24"/>
        </w:rPr>
        <w:t xml:space="preserve">legally authorized representatives (LAR)] </w:t>
      </w:r>
      <w:r w:rsidR="00380BCF" w:rsidRPr="1AFACCD6">
        <w:rPr>
          <w:rFonts w:asciiTheme="majorBidi" w:hAnsiTheme="majorBidi" w:cstheme="majorBidi"/>
          <w:sz w:val="24"/>
        </w:rPr>
        <w:t>and staff were recruited, screened, consented, and enrolled into the INHERENT study</w:t>
      </w:r>
      <w:r w:rsidR="00852916" w:rsidRPr="1AFACCD6">
        <w:rPr>
          <w:rFonts w:asciiTheme="majorBidi" w:hAnsiTheme="majorBidi" w:cstheme="majorBidi"/>
          <w:sz w:val="24"/>
        </w:rPr>
        <w:t xml:space="preserve"> prior to positive cases in the facility</w:t>
      </w:r>
      <w:r w:rsidR="006A6590" w:rsidRPr="1AFACCD6">
        <w:rPr>
          <w:rFonts w:asciiTheme="majorBidi" w:hAnsiTheme="majorBidi" w:cstheme="majorBidi"/>
          <w:sz w:val="24"/>
        </w:rPr>
        <w:t xml:space="preserve">. </w:t>
      </w:r>
      <w:r w:rsidR="00852916" w:rsidRPr="1AFACCD6">
        <w:rPr>
          <w:rFonts w:asciiTheme="majorBidi" w:hAnsiTheme="majorBidi" w:cstheme="majorBidi"/>
          <w:sz w:val="24"/>
        </w:rPr>
        <w:t>Potential participants were excluded if they had impaired decision-making capacity and no legally authorized representative or were unable to communicate in English.</w:t>
      </w:r>
    </w:p>
    <w:p w14:paraId="03F60E65" w14:textId="77777777" w:rsidR="00852916" w:rsidRDefault="00852916" w:rsidP="1AFACCD6">
      <w:pPr>
        <w:pStyle w:val="Body"/>
        <w:spacing w:before="0" w:after="0" w:line="240" w:lineRule="auto"/>
        <w:rPr>
          <w:rFonts w:asciiTheme="majorBidi" w:hAnsiTheme="majorBidi" w:cstheme="majorBidi"/>
          <w:sz w:val="24"/>
        </w:rPr>
      </w:pPr>
    </w:p>
    <w:p w14:paraId="17A1A2EE" w14:textId="256BFB4C" w:rsidR="00380BCF" w:rsidRDefault="00852916"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Following consent, study staff used a standardized REDCap form to abstract demographic, general health, and clinical information (including SARS-CoV-2 infection, treatment, and vaccination history) from NH records for residents. Study staff administered a questionnaire to the residents (or LAR) to obtain key information not readily available from the NH record. Participating NH staff received a short questionnaire via email or text to self-complete. Alternatively, NH staff completed a paper </w:t>
      </w:r>
      <w:r w:rsidR="006A6590" w:rsidRPr="1AFACCD6">
        <w:rPr>
          <w:rFonts w:asciiTheme="majorBidi" w:hAnsiTheme="majorBidi" w:cstheme="majorBidi"/>
          <w:sz w:val="24"/>
          <w:szCs w:val="24"/>
        </w:rPr>
        <w:t>form,</w:t>
      </w:r>
      <w:r w:rsidRPr="1AFACCD6">
        <w:rPr>
          <w:rFonts w:asciiTheme="majorBidi" w:hAnsiTheme="majorBidi" w:cstheme="majorBidi"/>
          <w:sz w:val="24"/>
          <w:szCs w:val="24"/>
        </w:rPr>
        <w:t xml:space="preserve"> or the study staff aided in form completion including administration of the survey. The NH staff questionnaire included demographic information, presence of clinical conditions, SARS-CoV-2 infection and treatment history, SARS-CoV-2 vaccination history, information related to role, work hours, and work at other facilities. </w:t>
      </w:r>
    </w:p>
    <w:p w14:paraId="371E0FA2" w14:textId="77777777" w:rsidR="00424FC7" w:rsidRDefault="00424FC7" w:rsidP="1AFACCD6">
      <w:pPr>
        <w:pStyle w:val="Body"/>
        <w:spacing w:before="0" w:after="0" w:line="240" w:lineRule="auto"/>
        <w:rPr>
          <w:rFonts w:asciiTheme="majorBidi" w:hAnsiTheme="majorBidi" w:cstheme="majorBidi"/>
          <w:sz w:val="24"/>
        </w:rPr>
      </w:pPr>
    </w:p>
    <w:p w14:paraId="07C257BD" w14:textId="549F27B6" w:rsidR="0029305C" w:rsidRDefault="00380BCF" w:rsidP="1AFACCD6">
      <w:pPr>
        <w:pStyle w:val="Body"/>
        <w:spacing w:before="0" w:after="0" w:line="240" w:lineRule="auto"/>
        <w:rPr>
          <w:rFonts w:asciiTheme="majorBidi" w:hAnsiTheme="majorBidi" w:cstheme="majorBidi"/>
          <w:sz w:val="24"/>
        </w:rPr>
      </w:pPr>
      <w:r w:rsidRPr="1AFACCD6">
        <w:rPr>
          <w:rFonts w:asciiTheme="majorBidi" w:hAnsiTheme="majorBidi" w:cstheme="majorBidi"/>
          <w:sz w:val="24"/>
        </w:rPr>
        <w:lastRenderedPageBreak/>
        <w:t>The report a new outbreak, n</w:t>
      </w:r>
      <w:r w:rsidR="000A41EC" w:rsidRPr="1AFACCD6">
        <w:rPr>
          <w:rFonts w:asciiTheme="majorBidi" w:hAnsiTheme="majorBidi" w:cstheme="majorBidi"/>
          <w:sz w:val="24"/>
        </w:rPr>
        <w:t xml:space="preserve">ursing home </w:t>
      </w:r>
      <w:r w:rsidR="00AA4D1B" w:rsidRPr="1AFACCD6">
        <w:rPr>
          <w:rFonts w:asciiTheme="majorBidi" w:hAnsiTheme="majorBidi" w:cstheme="majorBidi"/>
          <w:sz w:val="24"/>
        </w:rPr>
        <w:t>staff</w:t>
      </w:r>
      <w:r w:rsidR="000A41EC" w:rsidRPr="1AFACCD6">
        <w:rPr>
          <w:rFonts w:asciiTheme="majorBidi" w:hAnsiTheme="majorBidi" w:cstheme="majorBidi"/>
          <w:sz w:val="24"/>
        </w:rPr>
        <w:t xml:space="preserve"> at </w:t>
      </w:r>
      <w:r w:rsidR="00AA4D1B" w:rsidRPr="1AFACCD6">
        <w:rPr>
          <w:rFonts w:asciiTheme="majorBidi" w:hAnsiTheme="majorBidi" w:cstheme="majorBidi"/>
          <w:sz w:val="24"/>
        </w:rPr>
        <w:t>participating NH</w:t>
      </w:r>
      <w:r w:rsidR="007B1049" w:rsidRPr="1AFACCD6">
        <w:rPr>
          <w:rFonts w:asciiTheme="majorBidi" w:hAnsiTheme="majorBidi" w:cstheme="majorBidi"/>
          <w:sz w:val="24"/>
        </w:rPr>
        <w:t>s</w:t>
      </w:r>
      <w:r w:rsidR="000A41EC" w:rsidRPr="1AFACCD6">
        <w:rPr>
          <w:rFonts w:asciiTheme="majorBidi" w:hAnsiTheme="majorBidi" w:cstheme="majorBidi"/>
          <w:sz w:val="24"/>
        </w:rPr>
        <w:t xml:space="preserve"> notified the </w:t>
      </w:r>
      <w:r w:rsidRPr="1AFACCD6">
        <w:rPr>
          <w:rFonts w:asciiTheme="majorBidi" w:hAnsiTheme="majorBidi" w:cstheme="majorBidi"/>
          <w:sz w:val="24"/>
        </w:rPr>
        <w:t xml:space="preserve">site </w:t>
      </w:r>
      <w:r w:rsidR="00AA4D1B" w:rsidRPr="1AFACCD6">
        <w:rPr>
          <w:rFonts w:asciiTheme="majorBidi" w:hAnsiTheme="majorBidi" w:cstheme="majorBidi"/>
          <w:sz w:val="24"/>
        </w:rPr>
        <w:t>s</w:t>
      </w:r>
      <w:r w:rsidR="000A41EC" w:rsidRPr="1AFACCD6">
        <w:rPr>
          <w:rFonts w:asciiTheme="majorBidi" w:hAnsiTheme="majorBidi" w:cstheme="majorBidi"/>
          <w:sz w:val="24"/>
        </w:rPr>
        <w:t xml:space="preserve">tudy team within 24 hours of identifying </w:t>
      </w:r>
      <w:r w:rsidR="007B1049" w:rsidRPr="1AFACCD6">
        <w:rPr>
          <w:rFonts w:asciiTheme="majorBidi" w:hAnsiTheme="majorBidi" w:cstheme="majorBidi"/>
          <w:sz w:val="24"/>
        </w:rPr>
        <w:t xml:space="preserve">a </w:t>
      </w:r>
      <w:r w:rsidR="000A41EC" w:rsidRPr="1AFACCD6">
        <w:rPr>
          <w:rFonts w:asciiTheme="majorBidi" w:hAnsiTheme="majorBidi" w:cstheme="majorBidi"/>
          <w:sz w:val="24"/>
        </w:rPr>
        <w:t>positive case of SARS-CoV-2 in a</w:t>
      </w:r>
      <w:r w:rsidRPr="1AFACCD6">
        <w:rPr>
          <w:rFonts w:asciiTheme="majorBidi" w:hAnsiTheme="majorBidi" w:cstheme="majorBidi"/>
          <w:sz w:val="24"/>
        </w:rPr>
        <w:t>ny</w:t>
      </w:r>
      <w:r w:rsidR="000A41EC" w:rsidRPr="1AFACCD6">
        <w:rPr>
          <w:rFonts w:asciiTheme="majorBidi" w:hAnsiTheme="majorBidi" w:cstheme="majorBidi"/>
          <w:sz w:val="24"/>
        </w:rPr>
        <w:t xml:space="preserve"> resident or staff of the facility. The study team assisted the facility with outbreak testing on the affected unit(s), which included testing </w:t>
      </w:r>
      <w:r w:rsidR="00F5732B" w:rsidRPr="1AFACCD6">
        <w:rPr>
          <w:rFonts w:asciiTheme="majorBidi" w:hAnsiTheme="majorBidi" w:cstheme="majorBidi"/>
          <w:sz w:val="24"/>
        </w:rPr>
        <w:t xml:space="preserve">of NH </w:t>
      </w:r>
      <w:r w:rsidR="000A41EC" w:rsidRPr="1AFACCD6">
        <w:rPr>
          <w:rFonts w:asciiTheme="majorBidi" w:hAnsiTheme="majorBidi" w:cstheme="majorBidi"/>
          <w:sz w:val="24"/>
        </w:rPr>
        <w:t>resident</w:t>
      </w:r>
      <w:r w:rsidR="00F5732B" w:rsidRPr="1AFACCD6">
        <w:rPr>
          <w:rFonts w:asciiTheme="majorBidi" w:hAnsiTheme="majorBidi" w:cstheme="majorBidi"/>
          <w:sz w:val="24"/>
        </w:rPr>
        <w:t>s</w:t>
      </w:r>
      <w:r w:rsidR="000A41EC" w:rsidRPr="1AFACCD6">
        <w:rPr>
          <w:rFonts w:asciiTheme="majorBidi" w:hAnsiTheme="majorBidi" w:cstheme="majorBidi"/>
          <w:sz w:val="24"/>
        </w:rPr>
        <w:t xml:space="preserve"> and staff with both SARS-CoV-2 antigen and qualitative and quantitative RT-PCR for SARS-CoV-2 on days 1, 3, and 5 after exposure per public health recommendations</w:t>
      </w:r>
      <w:r w:rsidR="006A6590" w:rsidRPr="1AFACCD6">
        <w:rPr>
          <w:rFonts w:asciiTheme="majorBidi" w:hAnsiTheme="majorBidi" w:cstheme="majorBidi"/>
          <w:sz w:val="24"/>
        </w:rPr>
        <w:t xml:space="preserve">. </w:t>
      </w:r>
      <w:r w:rsidR="009A3065" w:rsidRPr="1AFACCD6">
        <w:rPr>
          <w:rFonts w:asciiTheme="majorBidi" w:hAnsiTheme="majorBidi" w:cstheme="majorBidi"/>
          <w:sz w:val="24"/>
        </w:rPr>
        <w:t>However, some NH chose to do their own testing using their standard approach</w:t>
      </w:r>
      <w:r w:rsidR="00FB14DE" w:rsidRPr="1AFACCD6">
        <w:rPr>
          <w:rFonts w:asciiTheme="majorBidi" w:hAnsiTheme="majorBidi" w:cstheme="majorBidi"/>
          <w:sz w:val="24"/>
        </w:rPr>
        <w:t xml:space="preserve"> which in most cases, was only antigen testing</w:t>
      </w:r>
      <w:r w:rsidR="009A3065" w:rsidRPr="1AFACCD6">
        <w:rPr>
          <w:rFonts w:asciiTheme="majorBidi" w:hAnsiTheme="majorBidi" w:cstheme="majorBidi"/>
          <w:sz w:val="24"/>
        </w:rPr>
        <w:t xml:space="preserve">. </w:t>
      </w:r>
      <w:r w:rsidR="00852916" w:rsidRPr="1AFACCD6">
        <w:rPr>
          <w:rFonts w:asciiTheme="majorBidi" w:hAnsiTheme="majorBidi" w:cstheme="majorBidi"/>
          <w:sz w:val="24"/>
        </w:rPr>
        <w:t xml:space="preserve">Roommates of infected residents were tested daily with both antigen and RT-PCR from days 1-7 after exposure. </w:t>
      </w:r>
      <w:r w:rsidRPr="1AFACCD6">
        <w:rPr>
          <w:rFonts w:asciiTheme="majorBidi" w:hAnsiTheme="majorBidi" w:cstheme="majorBidi"/>
          <w:sz w:val="24"/>
        </w:rPr>
        <w:t>Additional participants</w:t>
      </w:r>
      <w:r w:rsidR="00852916" w:rsidRPr="1AFACCD6">
        <w:rPr>
          <w:rFonts w:asciiTheme="majorBidi" w:hAnsiTheme="majorBidi" w:cstheme="majorBidi"/>
          <w:sz w:val="24"/>
        </w:rPr>
        <w:t xml:space="preserve">, including residents or staff who tested positive as part of nursing home surveillance or during an outbreak response who were not already consented, </w:t>
      </w:r>
      <w:proofErr w:type="gramStart"/>
      <w:r w:rsidRPr="1AFACCD6">
        <w:rPr>
          <w:rFonts w:asciiTheme="majorBidi" w:hAnsiTheme="majorBidi" w:cstheme="majorBidi"/>
          <w:sz w:val="24"/>
        </w:rPr>
        <w:t>were recruited</w:t>
      </w:r>
      <w:proofErr w:type="gramEnd"/>
      <w:r w:rsidRPr="1AFACCD6">
        <w:rPr>
          <w:rFonts w:asciiTheme="majorBidi" w:hAnsiTheme="majorBidi" w:cstheme="majorBidi"/>
          <w:sz w:val="24"/>
        </w:rPr>
        <w:t>, screened, consented, and enrolled</w:t>
      </w:r>
      <w:r w:rsidR="000A41EC" w:rsidRPr="1AFACCD6">
        <w:rPr>
          <w:rFonts w:asciiTheme="majorBidi" w:hAnsiTheme="majorBidi" w:cstheme="majorBidi"/>
          <w:sz w:val="24"/>
        </w:rPr>
        <w:t xml:space="preserve"> </w:t>
      </w:r>
      <w:r w:rsidRPr="1AFACCD6">
        <w:rPr>
          <w:rFonts w:asciiTheme="majorBidi" w:hAnsiTheme="majorBidi" w:cstheme="majorBidi"/>
          <w:sz w:val="24"/>
        </w:rPr>
        <w:t>during outbreak testing.</w:t>
      </w:r>
    </w:p>
    <w:p w14:paraId="33966C56" w14:textId="77777777" w:rsidR="0029305C" w:rsidRDefault="0029305C" w:rsidP="1AFACCD6">
      <w:pPr>
        <w:pStyle w:val="Body"/>
        <w:spacing w:before="0" w:after="0" w:line="240" w:lineRule="auto"/>
        <w:rPr>
          <w:rFonts w:asciiTheme="majorBidi" w:hAnsiTheme="majorBidi" w:cstheme="majorBidi"/>
          <w:sz w:val="24"/>
        </w:rPr>
      </w:pPr>
    </w:p>
    <w:p w14:paraId="60643C5C" w14:textId="28136AA0" w:rsidR="000154B5" w:rsidRPr="00532098" w:rsidRDefault="000154B5" w:rsidP="1AFACCD6">
      <w:pPr>
        <w:pStyle w:val="Body"/>
        <w:spacing w:before="0" w:after="0" w:line="240" w:lineRule="auto"/>
        <w:rPr>
          <w:rFonts w:asciiTheme="majorBidi" w:hAnsiTheme="majorBidi" w:cstheme="majorBidi"/>
          <w:sz w:val="24"/>
        </w:rPr>
      </w:pPr>
    </w:p>
    <w:p w14:paraId="4FA4DAF1" w14:textId="77777777" w:rsidR="00D91AA0" w:rsidRDefault="00D91AA0" w:rsidP="00D91AA0">
      <w:pPr>
        <w:spacing w:after="0" w:line="240" w:lineRule="auto"/>
        <w:rPr>
          <w:rFonts w:asciiTheme="majorBidi" w:hAnsiTheme="majorBidi" w:cstheme="majorBidi"/>
          <w:sz w:val="24"/>
          <w:szCs w:val="24"/>
        </w:rPr>
      </w:pPr>
    </w:p>
    <w:p w14:paraId="3BEFC60D" w14:textId="5424E078" w:rsidR="00842EB0" w:rsidRDefault="00842EB0" w:rsidP="1AFACCD6">
      <w:pPr>
        <w:spacing w:after="0" w:line="240" w:lineRule="auto"/>
        <w:rPr>
          <w:rFonts w:asciiTheme="majorBidi" w:hAnsiTheme="majorBidi" w:cstheme="majorBidi"/>
          <w:sz w:val="24"/>
          <w:szCs w:val="24"/>
        </w:rPr>
      </w:pPr>
    </w:p>
    <w:p w14:paraId="4D11429A" w14:textId="3E4A8DF6" w:rsidR="00842EB0" w:rsidRPr="00842EB0" w:rsidRDefault="00842EB0" w:rsidP="1AFACCD6">
      <w:pPr>
        <w:spacing w:after="0" w:line="240" w:lineRule="auto"/>
        <w:rPr>
          <w:rFonts w:asciiTheme="majorBidi" w:hAnsiTheme="majorBidi" w:cstheme="majorBidi"/>
          <w:sz w:val="24"/>
          <w:szCs w:val="24"/>
          <w:u w:val="single"/>
        </w:rPr>
      </w:pPr>
      <w:r w:rsidRPr="1AFACCD6">
        <w:rPr>
          <w:rFonts w:asciiTheme="majorBidi" w:hAnsiTheme="majorBidi" w:cstheme="majorBidi"/>
          <w:sz w:val="24"/>
          <w:szCs w:val="24"/>
          <w:u w:val="single"/>
        </w:rPr>
        <w:t>SARS-CoV-2 Testing Approach</w:t>
      </w:r>
      <w:r w:rsidR="00852916" w:rsidRPr="1AFACCD6">
        <w:rPr>
          <w:rFonts w:asciiTheme="majorBidi" w:hAnsiTheme="majorBidi" w:cstheme="majorBidi"/>
          <w:sz w:val="24"/>
          <w:szCs w:val="24"/>
          <w:u w:val="single"/>
        </w:rPr>
        <w:t xml:space="preserve"> Using a “Tiered approach”</w:t>
      </w:r>
    </w:p>
    <w:p w14:paraId="6D9A98D7" w14:textId="77777777" w:rsidR="00852916"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Ongoing, systematic collection, analysis, and interpretation of SARS-CoV-2-related data were collected as part of four tiers (Tier 0 through Tier 3) (Figure 1). </w:t>
      </w:r>
    </w:p>
    <w:p w14:paraId="73A9DF02" w14:textId="77777777" w:rsidR="00852916" w:rsidRDefault="00852916" w:rsidP="1AFACCD6">
      <w:pPr>
        <w:spacing w:after="0" w:line="240" w:lineRule="auto"/>
        <w:rPr>
          <w:rFonts w:asciiTheme="majorBidi" w:hAnsiTheme="majorBidi" w:cstheme="majorBidi"/>
          <w:sz w:val="24"/>
          <w:szCs w:val="24"/>
        </w:rPr>
      </w:pPr>
    </w:p>
    <w:p w14:paraId="4FF9D493" w14:textId="77777777" w:rsidR="00852916" w:rsidRPr="00E94C1C" w:rsidRDefault="00852916" w:rsidP="1AFACCD6">
      <w:pPr>
        <w:pStyle w:val="paragraph"/>
        <w:spacing w:before="0" w:beforeAutospacing="0" w:after="0" w:afterAutospacing="0"/>
        <w:textAlignment w:val="baseline"/>
        <w:rPr>
          <w:rFonts w:asciiTheme="majorBidi" w:hAnsiTheme="majorBidi" w:cstheme="majorBidi"/>
          <w:sz w:val="18"/>
          <w:szCs w:val="18"/>
        </w:rPr>
      </w:pPr>
      <w:r w:rsidRPr="1AFACCD6">
        <w:rPr>
          <w:rStyle w:val="normaltextrun"/>
          <w:rFonts w:asciiTheme="majorBidi" w:eastAsiaTheme="majorEastAsia" w:hAnsiTheme="majorBidi" w:cstheme="majorBidi"/>
          <w:b/>
          <w:bCs/>
          <w:sz w:val="22"/>
          <w:szCs w:val="22"/>
        </w:rPr>
        <w:t>Figure 1. Diagram of study tiers and testing at each tier.</w:t>
      </w:r>
      <w:r w:rsidRPr="1AFACCD6">
        <w:rPr>
          <w:rStyle w:val="eop"/>
          <w:rFonts w:asciiTheme="majorBidi" w:eastAsiaTheme="majorEastAsia" w:hAnsiTheme="majorBidi" w:cstheme="majorBidi"/>
          <w:sz w:val="22"/>
          <w:szCs w:val="22"/>
        </w:rPr>
        <w:t> </w:t>
      </w:r>
    </w:p>
    <w:p w14:paraId="46E3B898" w14:textId="75EA13B9" w:rsidR="00852916" w:rsidRPr="003A7C94" w:rsidRDefault="00852916" w:rsidP="1AFACCD6">
      <w:pPr>
        <w:pStyle w:val="paragraph"/>
        <w:spacing w:before="0" w:beforeAutospacing="0" w:after="0" w:afterAutospacing="0"/>
        <w:textAlignment w:val="baseline"/>
        <w:rPr>
          <w:rFonts w:ascii="Segoe UI" w:hAnsi="Segoe UI" w:cs="Segoe UI"/>
          <w:b/>
          <w:bCs/>
          <w:sz w:val="18"/>
          <w:szCs w:val="18"/>
        </w:rPr>
      </w:pPr>
      <w:r>
        <w:rPr>
          <w:noProof/>
        </w:rPr>
        <w:drawing>
          <wp:inline distT="0" distB="0" distL="0" distR="0" wp14:anchorId="22D295D3" wp14:editId="48E81F8E">
            <wp:extent cx="5943600" cy="2832735"/>
            <wp:effectExtent l="0" t="0" r="0" b="5715"/>
            <wp:docPr id="190626802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832735"/>
                    </a:xfrm>
                    <a:prstGeom prst="rect">
                      <a:avLst/>
                    </a:prstGeom>
                  </pic:spPr>
                </pic:pic>
              </a:graphicData>
            </a:graphic>
          </wp:inline>
        </w:drawing>
      </w:r>
      <w:r w:rsidRPr="1AFACCD6">
        <w:rPr>
          <w:rStyle w:val="eop"/>
          <w:rFonts w:ascii="Calibri" w:eastAsiaTheme="majorEastAsia" w:hAnsi="Calibri" w:cs="Calibri"/>
          <w:b/>
          <w:bCs/>
          <w:sz w:val="22"/>
          <w:szCs w:val="22"/>
        </w:rPr>
        <w:t> </w:t>
      </w:r>
    </w:p>
    <w:p w14:paraId="3B223462" w14:textId="77777777" w:rsidR="00852916" w:rsidRDefault="00852916" w:rsidP="1AFACCD6">
      <w:pPr>
        <w:spacing w:after="0" w:line="240" w:lineRule="auto"/>
        <w:rPr>
          <w:rFonts w:asciiTheme="majorBidi" w:hAnsiTheme="majorBidi" w:cstheme="majorBidi"/>
          <w:sz w:val="24"/>
          <w:szCs w:val="24"/>
        </w:rPr>
      </w:pPr>
    </w:p>
    <w:p w14:paraId="2A34F772" w14:textId="71D5C698" w:rsidR="00842EB0" w:rsidRPr="00842EB0" w:rsidRDefault="008A4BC0" w:rsidP="1AFACCD6">
      <w:pPr>
        <w:spacing w:after="0" w:line="240" w:lineRule="auto"/>
        <w:rPr>
          <w:rFonts w:asciiTheme="majorBidi" w:hAnsiTheme="majorBidi" w:cstheme="majorBidi"/>
          <w:sz w:val="24"/>
          <w:szCs w:val="24"/>
        </w:rPr>
      </w:pPr>
      <w:r w:rsidRPr="008A4BC0">
        <w:rPr>
          <w:rFonts w:asciiTheme="majorBidi" w:hAnsiTheme="majorBidi" w:cstheme="majorBidi"/>
          <w:b/>
          <w:bCs/>
          <w:color w:val="2B579A"/>
          <w:sz w:val="24"/>
          <w:szCs w:val="24"/>
          <w:shd w:val="clear" w:color="auto" w:fill="E6E6E6"/>
        </w:rPr>
        <w:t xml:space="preserve">Tier </w:t>
      </w:r>
      <w:r>
        <w:rPr>
          <w:rFonts w:asciiTheme="majorBidi" w:hAnsiTheme="majorBidi" w:cstheme="majorBidi"/>
          <w:b/>
          <w:bCs/>
          <w:color w:val="2B579A"/>
          <w:sz w:val="24"/>
          <w:szCs w:val="24"/>
          <w:shd w:val="clear" w:color="auto" w:fill="E6E6E6"/>
        </w:rPr>
        <w:t>0</w:t>
      </w:r>
      <w:r w:rsidRPr="1AFACCD6">
        <w:rPr>
          <w:rFonts w:asciiTheme="majorBidi" w:hAnsiTheme="majorBidi" w:cstheme="majorBidi"/>
          <w:sz w:val="24"/>
          <w:szCs w:val="24"/>
        </w:rPr>
        <w:t xml:space="preserve"> </w:t>
      </w:r>
      <w:r w:rsidR="52964A1B" w:rsidRPr="1AFACCD6">
        <w:rPr>
          <w:rFonts w:asciiTheme="majorBidi" w:hAnsiTheme="majorBidi" w:cstheme="majorBidi"/>
          <w:sz w:val="24"/>
          <w:szCs w:val="24"/>
        </w:rPr>
        <w:t xml:space="preserve">– Consisted </w:t>
      </w:r>
      <w:r w:rsidR="62561F20" w:rsidRPr="1AFACCD6">
        <w:rPr>
          <w:rFonts w:asciiTheme="majorBidi" w:hAnsiTheme="majorBidi" w:cstheme="majorBidi"/>
          <w:sz w:val="24"/>
          <w:szCs w:val="24"/>
        </w:rPr>
        <w:t>of routine</w:t>
      </w:r>
      <w:r w:rsidR="00842EB0" w:rsidRPr="1AFACCD6">
        <w:rPr>
          <w:rFonts w:asciiTheme="majorBidi" w:hAnsiTheme="majorBidi" w:cstheme="majorBidi"/>
          <w:sz w:val="24"/>
          <w:szCs w:val="24"/>
        </w:rPr>
        <w:t xml:space="preserve"> testing of NH residents and staff performed by NH staff based on current NH policies and procedures (e.g., testing done for all newly admitted residents, symptomatic residents or staff, or asymptomatic screening of staff during high community transmission). NHs notif</w:t>
      </w:r>
      <w:r w:rsidR="386D67F6" w:rsidRPr="1AFACCD6">
        <w:rPr>
          <w:rFonts w:asciiTheme="majorBidi" w:hAnsiTheme="majorBidi" w:cstheme="majorBidi"/>
          <w:sz w:val="24"/>
          <w:szCs w:val="24"/>
        </w:rPr>
        <w:t>ied</w:t>
      </w:r>
      <w:r w:rsidR="00842EB0" w:rsidRPr="1AFACCD6">
        <w:rPr>
          <w:rFonts w:asciiTheme="majorBidi" w:hAnsiTheme="majorBidi" w:cstheme="majorBidi"/>
          <w:sz w:val="24"/>
          <w:szCs w:val="24"/>
        </w:rPr>
        <w:t xml:space="preserve"> the site study team within 24 hours of any positive test in a NH resident or staff member. Study staff then visit the affected facility within 24 hours of notification. </w:t>
      </w:r>
    </w:p>
    <w:p w14:paraId="4D05A0A9" w14:textId="77777777" w:rsidR="00842EB0" w:rsidRPr="00842EB0" w:rsidRDefault="00842EB0" w:rsidP="00842EB0">
      <w:pPr>
        <w:spacing w:after="0" w:line="240" w:lineRule="auto"/>
        <w:rPr>
          <w:rFonts w:asciiTheme="majorBidi" w:hAnsiTheme="majorBidi" w:cstheme="majorBidi"/>
          <w:sz w:val="24"/>
          <w:szCs w:val="24"/>
        </w:rPr>
      </w:pPr>
    </w:p>
    <w:p w14:paraId="6BF161D6" w14:textId="607E01ED" w:rsidR="00842EB0" w:rsidRPr="00842EB0" w:rsidRDefault="008A4BC0" w:rsidP="1AFACCD6">
      <w:pPr>
        <w:spacing w:after="0" w:line="240" w:lineRule="auto"/>
        <w:rPr>
          <w:rFonts w:asciiTheme="majorBidi" w:hAnsiTheme="majorBidi" w:cstheme="majorBidi"/>
          <w:sz w:val="24"/>
          <w:szCs w:val="24"/>
        </w:rPr>
      </w:pPr>
      <w:r w:rsidRPr="008A4BC0">
        <w:rPr>
          <w:rFonts w:asciiTheme="majorBidi" w:hAnsiTheme="majorBidi" w:cstheme="majorBidi"/>
          <w:b/>
          <w:bCs/>
          <w:color w:val="2B579A"/>
          <w:sz w:val="24"/>
          <w:szCs w:val="24"/>
          <w:shd w:val="clear" w:color="auto" w:fill="E6E6E6"/>
        </w:rPr>
        <w:lastRenderedPageBreak/>
        <w:t xml:space="preserve">Tier </w:t>
      </w:r>
      <w:r>
        <w:rPr>
          <w:rFonts w:asciiTheme="majorBidi" w:hAnsiTheme="majorBidi" w:cstheme="majorBidi"/>
          <w:b/>
          <w:bCs/>
          <w:color w:val="2B579A"/>
          <w:sz w:val="24"/>
          <w:szCs w:val="24"/>
          <w:shd w:val="clear" w:color="auto" w:fill="E6E6E6"/>
        </w:rPr>
        <w:t>1</w:t>
      </w:r>
      <w:r w:rsidRPr="1AFACCD6">
        <w:rPr>
          <w:rFonts w:asciiTheme="majorBidi" w:hAnsiTheme="majorBidi" w:cstheme="majorBidi"/>
          <w:sz w:val="24"/>
          <w:szCs w:val="24"/>
        </w:rPr>
        <w:t xml:space="preserve"> -</w:t>
      </w:r>
      <w:r w:rsidR="52964A1B" w:rsidRPr="1AFACCD6">
        <w:rPr>
          <w:rFonts w:asciiTheme="majorBidi" w:hAnsiTheme="majorBidi" w:cstheme="majorBidi"/>
          <w:sz w:val="24"/>
          <w:szCs w:val="24"/>
        </w:rPr>
        <w:t xml:space="preserve"> Consisted of r</w:t>
      </w:r>
      <w:r w:rsidR="00842EB0" w:rsidRPr="1AFACCD6">
        <w:rPr>
          <w:rFonts w:asciiTheme="majorBidi" w:hAnsiTheme="majorBidi" w:cstheme="majorBidi"/>
          <w:sz w:val="24"/>
          <w:szCs w:val="24"/>
        </w:rPr>
        <w:t xml:space="preserve">apid antigen and RT-PCR testing conducted on alternate days for all </w:t>
      </w:r>
      <w:r w:rsidR="72B4B23A" w:rsidRPr="1AFACCD6">
        <w:rPr>
          <w:rFonts w:asciiTheme="majorBidi" w:hAnsiTheme="majorBidi" w:cstheme="majorBidi"/>
          <w:sz w:val="24"/>
          <w:szCs w:val="24"/>
        </w:rPr>
        <w:t>potentially exposed</w:t>
      </w:r>
      <w:r w:rsidR="00842EB0" w:rsidRPr="1AFACCD6">
        <w:rPr>
          <w:rFonts w:asciiTheme="majorBidi" w:hAnsiTheme="majorBidi" w:cstheme="majorBidi"/>
          <w:sz w:val="24"/>
          <w:szCs w:val="24"/>
        </w:rPr>
        <w:t xml:space="preserve"> residents and staff in the affected unit (or the facility, if appropriate based on exposures) for 5 days (i.e., on days 1, 3, and 5). Site study staff support</w:t>
      </w:r>
      <w:r w:rsidR="52964A1B" w:rsidRPr="1AFACCD6">
        <w:rPr>
          <w:rFonts w:asciiTheme="majorBidi" w:hAnsiTheme="majorBidi" w:cstheme="majorBidi"/>
          <w:sz w:val="24"/>
          <w:szCs w:val="24"/>
        </w:rPr>
        <w:t>ed</w:t>
      </w:r>
      <w:r w:rsidR="00842EB0" w:rsidRPr="1AFACCD6">
        <w:rPr>
          <w:rFonts w:asciiTheme="majorBidi" w:hAnsiTheme="majorBidi" w:cstheme="majorBidi"/>
          <w:sz w:val="24"/>
          <w:szCs w:val="24"/>
        </w:rPr>
        <w:t xml:space="preserve"> Tier 1 testing</w:t>
      </w:r>
      <w:r w:rsidR="52964A1B" w:rsidRPr="1AFACCD6">
        <w:rPr>
          <w:rFonts w:asciiTheme="majorBidi" w:hAnsiTheme="majorBidi" w:cstheme="majorBidi"/>
          <w:sz w:val="24"/>
          <w:szCs w:val="24"/>
        </w:rPr>
        <w:t>,</w:t>
      </w:r>
      <w:r w:rsidR="00842EB0" w:rsidRPr="1AFACCD6">
        <w:rPr>
          <w:rFonts w:asciiTheme="majorBidi" w:hAnsiTheme="majorBidi" w:cstheme="majorBidi"/>
          <w:sz w:val="24"/>
          <w:szCs w:val="24"/>
        </w:rPr>
        <w:t xml:space="preserve"> which </w:t>
      </w:r>
      <w:r w:rsidR="321D344B" w:rsidRPr="1AFACCD6">
        <w:rPr>
          <w:rFonts w:asciiTheme="majorBidi" w:hAnsiTheme="majorBidi" w:cstheme="majorBidi"/>
          <w:sz w:val="24"/>
          <w:szCs w:val="24"/>
        </w:rPr>
        <w:t>occurred</w:t>
      </w:r>
      <w:r w:rsidR="00842EB0" w:rsidRPr="1AFACCD6">
        <w:rPr>
          <w:rFonts w:asciiTheme="majorBidi" w:hAnsiTheme="majorBidi" w:cstheme="majorBidi"/>
          <w:sz w:val="24"/>
          <w:szCs w:val="24"/>
        </w:rPr>
        <w:t xml:space="preserve"> regardless of consent in line with CDC guidance for </w:t>
      </w:r>
      <w:r w:rsidR="0EEE3247" w:rsidRPr="1AFACCD6">
        <w:rPr>
          <w:rFonts w:asciiTheme="majorBidi" w:hAnsiTheme="majorBidi" w:cstheme="majorBidi"/>
          <w:sz w:val="24"/>
          <w:szCs w:val="24"/>
        </w:rPr>
        <w:t>potentially exposed</w:t>
      </w:r>
      <w:r w:rsidR="00842EB0" w:rsidRPr="1AFACCD6">
        <w:rPr>
          <w:rFonts w:asciiTheme="majorBidi" w:hAnsiTheme="majorBidi" w:cstheme="majorBidi"/>
          <w:sz w:val="24"/>
          <w:szCs w:val="24"/>
        </w:rPr>
        <w:t xml:space="preserve"> individuals.</w:t>
      </w:r>
      <w:r w:rsidR="00842EB0" w:rsidRPr="1AFACCD6">
        <w:rPr>
          <w:rFonts w:asciiTheme="majorBidi" w:hAnsiTheme="majorBidi" w:cstheme="majorBidi"/>
          <w:color w:val="2B579A"/>
          <w:sz w:val="24"/>
          <w:szCs w:val="24"/>
        </w:rPr>
        <w:fldChar w:fldCharType="begin"/>
      </w:r>
      <w:r w:rsidR="00842EB0" w:rsidRPr="1AFACCD6">
        <w:rPr>
          <w:rFonts w:asciiTheme="majorBidi" w:hAnsiTheme="majorBidi" w:cstheme="majorBidi"/>
          <w:sz w:val="24"/>
          <w:szCs w:val="24"/>
        </w:rPr>
        <w:instrText xml:space="preserve"> ADDIN EN.CITE &lt;EndNote&gt;&lt;Cite&gt;&lt;Author&gt;U.S. Centers for Disease Control and Prevention&lt;/Author&gt;&lt;RecNum&gt;10&lt;/RecNum&gt;&lt;DisplayText&gt;&lt;style face="superscript"&gt;21&lt;/style&gt;&lt;/DisplayText&gt;&lt;record&gt;&lt;rec-number&gt;10&lt;/rec-number&gt;&lt;foreign-keys&gt;&lt;key app="EN" db-id="d5a52vdzzf5rv5eswtrvd5wba0ve9avtfas5" timestamp="1692039874"&gt;10&lt;/key&gt;&lt;/foreign-keys&gt;&lt;ref-type name="Web Page"&gt;12&lt;/ref-type&gt;&lt;contributors&gt;&lt;authors&gt;&lt;author&gt;U.S. Centers for Disease Control and Prevention,&lt;/author&gt;&lt;/authors&gt;&lt;/contributors&gt;&lt;titles&gt;&lt;title&gt;Interim Infection Prevention and Control Recommendations for Healthcare Personnel During the Coronavirus Disease 2019 (COVID-19) Pandemic&lt;/title&gt;&lt;/titles&gt;&lt;number&gt;August 14, 2023&lt;/number&gt;&lt;dates&gt;&lt;pub-dates&gt;&lt;date&gt;May 8, 2023&lt;/date&gt;&lt;/pub-dates&gt;&lt;/dates&gt;&lt;urls&gt;&lt;related-urls&gt;&lt;url&gt;https://www.cdc.gov/coronavirus/2019-ncov/hcp/infection-control-recommendations.html&lt;/url&gt;&lt;/related-urls&gt;&lt;/urls&gt;&lt;access-date&gt;August 14, 2023&lt;/access-date&gt;&lt;/record&gt;&lt;/Cite&gt;&lt;/EndNote&gt;</w:instrText>
      </w:r>
      <w:r w:rsidR="00842EB0" w:rsidRPr="1AFACCD6">
        <w:rPr>
          <w:rFonts w:asciiTheme="majorBidi" w:hAnsiTheme="majorBidi" w:cstheme="majorBidi"/>
          <w:color w:val="2B579A"/>
          <w:sz w:val="24"/>
          <w:szCs w:val="24"/>
        </w:rPr>
        <w:fldChar w:fldCharType="separate"/>
      </w:r>
      <w:r w:rsidR="00842EB0" w:rsidRPr="1AFACCD6">
        <w:rPr>
          <w:rFonts w:asciiTheme="majorBidi" w:hAnsiTheme="majorBidi" w:cstheme="majorBidi"/>
          <w:sz w:val="24"/>
          <w:szCs w:val="24"/>
          <w:vertAlign w:val="superscript"/>
        </w:rPr>
        <w:t>1</w:t>
      </w:r>
      <w:r w:rsidR="00842EB0" w:rsidRPr="1AFACCD6">
        <w:rPr>
          <w:rFonts w:asciiTheme="majorBidi" w:hAnsiTheme="majorBidi" w:cstheme="majorBidi"/>
          <w:color w:val="2B579A"/>
          <w:sz w:val="24"/>
          <w:szCs w:val="24"/>
        </w:rPr>
        <w:fldChar w:fldCharType="end"/>
      </w:r>
      <w:r w:rsidR="00842EB0" w:rsidRPr="1AFACCD6">
        <w:rPr>
          <w:rFonts w:asciiTheme="majorBidi" w:hAnsiTheme="majorBidi" w:cstheme="majorBidi"/>
          <w:sz w:val="24"/>
          <w:szCs w:val="24"/>
        </w:rPr>
        <w:t xml:space="preserve"> Testing with both antigen and RT-PCR </w:t>
      </w:r>
      <w:r w:rsidR="321D344B" w:rsidRPr="1AFACCD6">
        <w:rPr>
          <w:rFonts w:asciiTheme="majorBidi" w:hAnsiTheme="majorBidi" w:cstheme="majorBidi"/>
          <w:sz w:val="24"/>
          <w:szCs w:val="24"/>
        </w:rPr>
        <w:t>wa</w:t>
      </w:r>
      <w:r w:rsidR="00842EB0" w:rsidRPr="1AFACCD6">
        <w:rPr>
          <w:rFonts w:asciiTheme="majorBidi" w:hAnsiTheme="majorBidi" w:cstheme="majorBidi"/>
          <w:sz w:val="24"/>
          <w:szCs w:val="24"/>
        </w:rPr>
        <w:t xml:space="preserve">s conducted to ensure rapid identification of new cases </w:t>
      </w:r>
      <w:r w:rsidR="65D7C174" w:rsidRPr="1AFACCD6">
        <w:rPr>
          <w:rFonts w:asciiTheme="majorBidi" w:hAnsiTheme="majorBidi" w:cstheme="majorBidi"/>
          <w:sz w:val="24"/>
          <w:szCs w:val="24"/>
        </w:rPr>
        <w:t>and</w:t>
      </w:r>
      <w:r w:rsidR="00842EB0" w:rsidRPr="1AFACCD6">
        <w:rPr>
          <w:rFonts w:asciiTheme="majorBidi" w:hAnsiTheme="majorBidi" w:cstheme="majorBidi"/>
          <w:sz w:val="24"/>
          <w:szCs w:val="24"/>
        </w:rPr>
        <w:t xml:space="preserve"> to maximize sensitivity to detect new infections. </w:t>
      </w:r>
      <w:r w:rsidR="321D344B" w:rsidRPr="1AFACCD6">
        <w:rPr>
          <w:rFonts w:asciiTheme="majorBidi" w:hAnsiTheme="majorBidi" w:cstheme="majorBidi"/>
          <w:sz w:val="24"/>
          <w:szCs w:val="24"/>
        </w:rPr>
        <w:t>Some NH</w:t>
      </w:r>
      <w:r w:rsidR="52964A1B" w:rsidRPr="1AFACCD6">
        <w:rPr>
          <w:rFonts w:asciiTheme="majorBidi" w:hAnsiTheme="majorBidi" w:cstheme="majorBidi"/>
          <w:sz w:val="24"/>
          <w:szCs w:val="24"/>
        </w:rPr>
        <w:t>s</w:t>
      </w:r>
      <w:r w:rsidR="321D344B" w:rsidRPr="1AFACCD6">
        <w:rPr>
          <w:rFonts w:asciiTheme="majorBidi" w:hAnsiTheme="majorBidi" w:cstheme="majorBidi"/>
          <w:sz w:val="24"/>
          <w:szCs w:val="24"/>
        </w:rPr>
        <w:t xml:space="preserve"> elected to conduct their own outbreak testing (usually antigen only testing). </w:t>
      </w:r>
      <w:r w:rsidR="00842EB0" w:rsidRPr="1AFACCD6">
        <w:rPr>
          <w:rFonts w:asciiTheme="majorBidi" w:hAnsiTheme="majorBidi" w:cstheme="majorBidi"/>
          <w:sz w:val="24"/>
          <w:szCs w:val="24"/>
        </w:rPr>
        <w:t xml:space="preserve">Data on antigen test results and presence of any symptoms suggestive of COVID-19 </w:t>
      </w:r>
      <w:r w:rsidR="321D344B" w:rsidRPr="1AFACCD6">
        <w:rPr>
          <w:rFonts w:asciiTheme="majorBidi" w:hAnsiTheme="majorBidi" w:cstheme="majorBidi"/>
          <w:sz w:val="24"/>
          <w:szCs w:val="24"/>
        </w:rPr>
        <w:t>we</w:t>
      </w:r>
      <w:r w:rsidR="00842EB0" w:rsidRPr="1AFACCD6">
        <w:rPr>
          <w:rFonts w:asciiTheme="majorBidi" w:hAnsiTheme="majorBidi" w:cstheme="majorBidi"/>
          <w:sz w:val="24"/>
          <w:szCs w:val="24"/>
        </w:rPr>
        <w:t xml:space="preserve">re collected at each testing occurrence. Site study staff also collect daily swabs from consented roommates of residents who test positive for rapid antigen test and RT-PCR for 7 days to ensure rapid identification of new cases among those at highest risk of being infected. </w:t>
      </w:r>
    </w:p>
    <w:p w14:paraId="264344E8" w14:textId="77777777" w:rsidR="00842EB0" w:rsidRPr="00842EB0" w:rsidRDefault="00842EB0" w:rsidP="00842EB0">
      <w:pPr>
        <w:spacing w:after="0" w:line="240" w:lineRule="auto"/>
        <w:rPr>
          <w:rFonts w:asciiTheme="majorBidi" w:hAnsiTheme="majorBidi" w:cstheme="majorBidi"/>
          <w:sz w:val="24"/>
          <w:szCs w:val="24"/>
        </w:rPr>
      </w:pPr>
    </w:p>
    <w:p w14:paraId="66897175" w14:textId="2BFEB3C3" w:rsidR="003A7C94" w:rsidRDefault="52964A1B" w:rsidP="1AFACCD6">
      <w:pPr>
        <w:spacing w:after="0" w:line="240" w:lineRule="auto"/>
        <w:rPr>
          <w:rFonts w:asciiTheme="majorBidi" w:hAnsiTheme="majorBidi" w:cstheme="majorBidi"/>
          <w:sz w:val="24"/>
          <w:szCs w:val="24"/>
        </w:rPr>
      </w:pPr>
      <w:r w:rsidRPr="008A4BC0">
        <w:rPr>
          <w:rFonts w:asciiTheme="majorBidi" w:hAnsiTheme="majorBidi" w:cstheme="majorBidi"/>
          <w:b/>
          <w:bCs/>
          <w:color w:val="2B579A"/>
          <w:sz w:val="24"/>
          <w:szCs w:val="24"/>
          <w:shd w:val="clear" w:color="auto" w:fill="E6E6E6"/>
        </w:rPr>
        <w:t>Tier 2</w:t>
      </w:r>
      <w:r w:rsidRPr="1AFACCD6">
        <w:rPr>
          <w:rFonts w:asciiTheme="majorBidi" w:hAnsiTheme="majorBidi" w:cstheme="majorBidi"/>
          <w:sz w:val="24"/>
          <w:szCs w:val="24"/>
        </w:rPr>
        <w:t xml:space="preserve"> – Consisted of antigen and RT-PCR testing for c</w:t>
      </w:r>
      <w:r w:rsidR="00842EB0" w:rsidRPr="1AFACCD6">
        <w:rPr>
          <w:rFonts w:asciiTheme="majorBidi" w:hAnsiTheme="majorBidi" w:cstheme="majorBidi"/>
          <w:sz w:val="24"/>
          <w:szCs w:val="24"/>
        </w:rPr>
        <w:t xml:space="preserve">onsented participants with either a positive test identified </w:t>
      </w:r>
      <w:r w:rsidRPr="1AFACCD6">
        <w:rPr>
          <w:rFonts w:asciiTheme="majorBidi" w:hAnsiTheme="majorBidi" w:cstheme="majorBidi"/>
          <w:sz w:val="24"/>
          <w:szCs w:val="24"/>
        </w:rPr>
        <w:t xml:space="preserve">in </w:t>
      </w:r>
      <w:r w:rsidR="00842EB0" w:rsidRPr="1AFACCD6">
        <w:rPr>
          <w:rFonts w:asciiTheme="majorBidi" w:hAnsiTheme="majorBidi" w:cstheme="majorBidi"/>
          <w:sz w:val="24"/>
          <w:szCs w:val="24"/>
        </w:rPr>
        <w:t>Tiers 0 or</w:t>
      </w:r>
      <w:r w:rsidRPr="1AFACCD6">
        <w:rPr>
          <w:rFonts w:asciiTheme="majorBidi" w:hAnsiTheme="majorBidi" w:cstheme="majorBidi"/>
          <w:sz w:val="24"/>
          <w:szCs w:val="24"/>
        </w:rPr>
        <w:t xml:space="preserve"> 1</w:t>
      </w:r>
      <w:r w:rsidR="00842EB0" w:rsidRPr="1AFACCD6">
        <w:rPr>
          <w:rFonts w:asciiTheme="majorBidi" w:hAnsiTheme="majorBidi" w:cstheme="majorBidi"/>
          <w:b/>
          <w:bCs/>
          <w:sz w:val="24"/>
          <w:szCs w:val="24"/>
        </w:rPr>
        <w:t xml:space="preserve">. </w:t>
      </w:r>
      <w:r w:rsidR="00842EB0" w:rsidRPr="1AFACCD6">
        <w:rPr>
          <w:rFonts w:asciiTheme="majorBidi" w:hAnsiTheme="majorBidi" w:cstheme="majorBidi"/>
          <w:sz w:val="24"/>
          <w:szCs w:val="24"/>
        </w:rPr>
        <w:t>During Tier 2, site study staff collect</w:t>
      </w:r>
      <w:r w:rsidR="5D593674" w:rsidRPr="1AFACCD6">
        <w:rPr>
          <w:rFonts w:asciiTheme="majorBidi" w:hAnsiTheme="majorBidi" w:cstheme="majorBidi"/>
          <w:sz w:val="24"/>
          <w:szCs w:val="24"/>
        </w:rPr>
        <w:t>ed</w:t>
      </w:r>
      <w:r w:rsidR="00842EB0" w:rsidRPr="1AFACCD6">
        <w:rPr>
          <w:rFonts w:asciiTheme="majorBidi" w:hAnsiTheme="majorBidi" w:cstheme="majorBidi"/>
          <w:sz w:val="24"/>
          <w:szCs w:val="24"/>
        </w:rPr>
        <w:t xml:space="preserve"> specimens daily from participants for </w:t>
      </w:r>
      <w:bookmarkStart w:id="5" w:name="_Int_O1fHZbkd"/>
      <w:r w:rsidR="00842EB0" w:rsidRPr="1AFACCD6">
        <w:rPr>
          <w:rFonts w:asciiTheme="majorBidi" w:hAnsiTheme="majorBidi" w:cstheme="majorBidi"/>
          <w:sz w:val="24"/>
          <w:szCs w:val="24"/>
        </w:rPr>
        <w:t xml:space="preserve">14 </w:t>
      </w:r>
      <w:r w:rsidRPr="1AFACCD6">
        <w:rPr>
          <w:rFonts w:asciiTheme="majorBidi" w:hAnsiTheme="majorBidi" w:cstheme="majorBidi"/>
          <w:sz w:val="24"/>
          <w:szCs w:val="24"/>
        </w:rPr>
        <w:t>days</w:t>
      </w:r>
      <w:bookmarkEnd w:id="5"/>
      <w:r w:rsidR="00842EB0" w:rsidRPr="1AFACCD6">
        <w:rPr>
          <w:rFonts w:asciiTheme="majorBidi" w:hAnsiTheme="majorBidi" w:cstheme="majorBidi"/>
          <w:sz w:val="24"/>
          <w:szCs w:val="24"/>
        </w:rPr>
        <w:t>. Select specimens also under</w:t>
      </w:r>
      <w:r w:rsidR="5D593674" w:rsidRPr="1AFACCD6">
        <w:rPr>
          <w:rFonts w:asciiTheme="majorBidi" w:hAnsiTheme="majorBidi" w:cstheme="majorBidi"/>
          <w:sz w:val="24"/>
          <w:szCs w:val="24"/>
        </w:rPr>
        <w:t>went</w:t>
      </w:r>
      <w:r w:rsidR="00842EB0" w:rsidRPr="1AFACCD6">
        <w:rPr>
          <w:rFonts w:asciiTheme="majorBidi" w:hAnsiTheme="majorBidi" w:cstheme="majorBidi"/>
          <w:sz w:val="24"/>
          <w:szCs w:val="24"/>
        </w:rPr>
        <w:t xml:space="preserve"> genetic sequencing and culture (described below). At the end of the Tier 2 period, study staff ask</w:t>
      </w:r>
      <w:r w:rsidR="5D593674" w:rsidRPr="1AFACCD6">
        <w:rPr>
          <w:rFonts w:asciiTheme="majorBidi" w:hAnsiTheme="majorBidi" w:cstheme="majorBidi"/>
          <w:sz w:val="24"/>
          <w:szCs w:val="24"/>
        </w:rPr>
        <w:t>ed</w:t>
      </w:r>
      <w:r w:rsidR="00842EB0" w:rsidRPr="1AFACCD6">
        <w:rPr>
          <w:rFonts w:asciiTheme="majorBidi" w:hAnsiTheme="majorBidi" w:cstheme="majorBidi"/>
          <w:sz w:val="24"/>
          <w:szCs w:val="24"/>
        </w:rPr>
        <w:t xml:space="preserve"> enrolled </w:t>
      </w:r>
      <w:r w:rsidRPr="1AFACCD6">
        <w:rPr>
          <w:rFonts w:asciiTheme="majorBidi" w:hAnsiTheme="majorBidi" w:cstheme="majorBidi"/>
          <w:sz w:val="24"/>
          <w:szCs w:val="24"/>
        </w:rPr>
        <w:t xml:space="preserve">tier 2 participants to consent </w:t>
      </w:r>
      <w:r w:rsidR="00842EB0" w:rsidRPr="1AFACCD6">
        <w:rPr>
          <w:rFonts w:asciiTheme="majorBidi" w:hAnsiTheme="majorBidi" w:cstheme="majorBidi"/>
          <w:sz w:val="24"/>
          <w:szCs w:val="24"/>
        </w:rPr>
        <w:t xml:space="preserve">to continue participation in </w:t>
      </w:r>
      <w:r w:rsidR="00842EB0" w:rsidRPr="1AFACCD6">
        <w:rPr>
          <w:rFonts w:asciiTheme="majorBidi" w:hAnsiTheme="majorBidi" w:cstheme="majorBidi"/>
          <w:b/>
          <w:bCs/>
          <w:sz w:val="24"/>
          <w:szCs w:val="24"/>
        </w:rPr>
        <w:t>Tier 3,</w:t>
      </w:r>
      <w:r w:rsidR="00842EB0" w:rsidRPr="1AFACCD6">
        <w:rPr>
          <w:rFonts w:asciiTheme="majorBidi" w:hAnsiTheme="majorBidi" w:cstheme="majorBidi"/>
          <w:sz w:val="24"/>
          <w:szCs w:val="24"/>
        </w:rPr>
        <w:t xml:space="preserve"> </w:t>
      </w:r>
    </w:p>
    <w:p w14:paraId="2CBAAA6D" w14:textId="77777777" w:rsidR="003A7C94" w:rsidRDefault="003A7C94" w:rsidP="1AFACCD6">
      <w:pPr>
        <w:spacing w:after="0" w:line="240" w:lineRule="auto"/>
        <w:rPr>
          <w:rFonts w:asciiTheme="majorBidi" w:hAnsiTheme="majorBidi" w:cstheme="majorBidi"/>
          <w:sz w:val="24"/>
          <w:szCs w:val="24"/>
        </w:rPr>
      </w:pPr>
    </w:p>
    <w:p w14:paraId="7DB73CFD" w14:textId="2B35E34C" w:rsidR="00842EB0" w:rsidRPr="00842EB0" w:rsidRDefault="52964A1B" w:rsidP="1AFACCD6">
      <w:pPr>
        <w:spacing w:after="0" w:line="240" w:lineRule="auto"/>
        <w:rPr>
          <w:rFonts w:asciiTheme="majorBidi" w:hAnsiTheme="majorBidi" w:cstheme="majorBidi"/>
          <w:sz w:val="24"/>
          <w:szCs w:val="24"/>
        </w:rPr>
      </w:pPr>
      <w:r w:rsidRPr="1AFACCD6">
        <w:rPr>
          <w:rFonts w:asciiTheme="majorBidi" w:hAnsiTheme="majorBidi" w:cstheme="majorBidi"/>
          <w:b/>
          <w:bCs/>
          <w:color w:val="2B579A"/>
          <w:sz w:val="24"/>
          <w:szCs w:val="24"/>
          <w:shd w:val="clear" w:color="auto" w:fill="E6E6E6"/>
        </w:rPr>
        <w:t>Tier 3</w:t>
      </w:r>
      <w:r w:rsidRPr="1AFACCD6">
        <w:rPr>
          <w:rFonts w:asciiTheme="majorBidi" w:hAnsiTheme="majorBidi" w:cstheme="majorBidi"/>
          <w:sz w:val="24"/>
          <w:szCs w:val="24"/>
        </w:rPr>
        <w:t xml:space="preserve"> - For those who continued into Tier 3, site study staff collect biweekly (</w:t>
      </w:r>
      <w:bookmarkStart w:id="6" w:name="_Int_1qAnczq2"/>
      <w:r w:rsidRPr="1AFACCD6">
        <w:rPr>
          <w:rFonts w:asciiTheme="majorBidi" w:hAnsiTheme="majorBidi" w:cstheme="majorBidi"/>
          <w:sz w:val="24"/>
          <w:szCs w:val="24"/>
        </w:rPr>
        <w:t>approximately every</w:t>
      </w:r>
      <w:bookmarkEnd w:id="6"/>
      <w:r w:rsidRPr="1AFACCD6">
        <w:rPr>
          <w:rFonts w:asciiTheme="majorBidi" w:hAnsiTheme="majorBidi" w:cstheme="majorBidi"/>
          <w:sz w:val="24"/>
          <w:szCs w:val="24"/>
        </w:rPr>
        <w:t xml:space="preserve"> 3-4 days) swabs for antigen and RT-PCR testing from days 15-30 and then weekly from days 31-90 </w:t>
      </w:r>
      <w:r w:rsidR="00842EB0" w:rsidRPr="1AFACCD6">
        <w:rPr>
          <w:rFonts w:asciiTheme="majorBidi" w:hAnsiTheme="majorBidi" w:cstheme="majorBidi"/>
          <w:sz w:val="24"/>
          <w:szCs w:val="24"/>
        </w:rPr>
        <w:t xml:space="preserve">after the first positive test. A questionnaire documenting treatment and hospitalization </w:t>
      </w:r>
      <w:r w:rsidR="7DFBF4AD" w:rsidRPr="1AFACCD6">
        <w:rPr>
          <w:rFonts w:asciiTheme="majorBidi" w:hAnsiTheme="majorBidi" w:cstheme="majorBidi"/>
          <w:sz w:val="24"/>
          <w:szCs w:val="24"/>
        </w:rPr>
        <w:t>wa</w:t>
      </w:r>
      <w:r w:rsidR="00842EB0" w:rsidRPr="1AFACCD6">
        <w:rPr>
          <w:rFonts w:asciiTheme="majorBidi" w:hAnsiTheme="majorBidi" w:cstheme="majorBidi"/>
          <w:sz w:val="24"/>
          <w:szCs w:val="24"/>
        </w:rPr>
        <w:t xml:space="preserve">s performed every two weeks for participants in Tiers 2 and 3 using the same administration approaches as described for the enrollment questionnaire. </w:t>
      </w:r>
    </w:p>
    <w:p w14:paraId="79ABA566" w14:textId="77777777" w:rsidR="00842EB0" w:rsidRPr="00842EB0" w:rsidRDefault="00842EB0" w:rsidP="00842EB0">
      <w:pPr>
        <w:spacing w:after="0" w:line="240" w:lineRule="auto"/>
        <w:rPr>
          <w:rFonts w:asciiTheme="majorBidi" w:hAnsiTheme="majorBidi" w:cstheme="majorBidi"/>
          <w:sz w:val="24"/>
          <w:szCs w:val="24"/>
        </w:rPr>
      </w:pPr>
    </w:p>
    <w:p w14:paraId="48F5450C" w14:textId="77777777" w:rsidR="00842EB0" w:rsidRPr="00842EB0" w:rsidRDefault="00842EB0" w:rsidP="00842EB0">
      <w:pPr>
        <w:spacing w:after="0" w:line="240" w:lineRule="auto"/>
        <w:rPr>
          <w:rFonts w:asciiTheme="majorBidi" w:hAnsiTheme="majorBidi" w:cstheme="majorBidi"/>
          <w:sz w:val="24"/>
          <w:szCs w:val="24"/>
        </w:rPr>
      </w:pPr>
      <w:r w:rsidRPr="00842EB0">
        <w:rPr>
          <w:rFonts w:asciiTheme="majorBidi" w:hAnsiTheme="majorBidi" w:cstheme="majorBidi"/>
          <w:sz w:val="24"/>
          <w:szCs w:val="24"/>
          <w:u w:val="single"/>
        </w:rPr>
        <w:t>Specimen Collection and Testing</w:t>
      </w:r>
    </w:p>
    <w:p w14:paraId="0466B51B" w14:textId="5C75F985" w:rsidR="00842EB0" w:rsidRPr="00842EB0" w:rsidRDefault="00842EB0" w:rsidP="00842EB0">
      <w:pPr>
        <w:spacing w:after="0" w:line="240" w:lineRule="auto"/>
        <w:rPr>
          <w:rFonts w:asciiTheme="majorBidi" w:hAnsiTheme="majorBidi" w:cstheme="majorBidi"/>
          <w:sz w:val="24"/>
          <w:szCs w:val="24"/>
        </w:rPr>
      </w:pPr>
      <w:r w:rsidRPr="00842EB0">
        <w:rPr>
          <w:rFonts w:asciiTheme="majorBidi" w:hAnsiTheme="majorBidi" w:cstheme="majorBidi"/>
          <w:sz w:val="24"/>
          <w:szCs w:val="24"/>
        </w:rPr>
        <w:t xml:space="preserve">During each testing occurrence, two anterior or mid-turbinate nasal swabs </w:t>
      </w:r>
      <w:r w:rsidR="00B237ED">
        <w:rPr>
          <w:rFonts w:asciiTheme="majorBidi" w:hAnsiTheme="majorBidi" w:cstheme="majorBidi"/>
          <w:sz w:val="24"/>
          <w:szCs w:val="24"/>
        </w:rPr>
        <w:t>we</w:t>
      </w:r>
      <w:r w:rsidRPr="00842EB0">
        <w:rPr>
          <w:rFonts w:asciiTheme="majorBidi" w:hAnsiTheme="majorBidi" w:cstheme="majorBidi"/>
          <w:sz w:val="24"/>
          <w:szCs w:val="24"/>
        </w:rPr>
        <w:t>re collected using standard methods. Site study staff collect</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 swabs from NH residents and use</w:t>
      </w:r>
      <w:r w:rsidR="00B237ED">
        <w:rPr>
          <w:rFonts w:asciiTheme="majorBidi" w:hAnsiTheme="majorBidi" w:cstheme="majorBidi"/>
          <w:sz w:val="24"/>
          <w:szCs w:val="24"/>
        </w:rPr>
        <w:t>d</w:t>
      </w:r>
      <w:r w:rsidRPr="00842EB0">
        <w:rPr>
          <w:rFonts w:asciiTheme="majorBidi" w:hAnsiTheme="majorBidi" w:cstheme="majorBidi"/>
          <w:sz w:val="24"/>
          <w:szCs w:val="24"/>
        </w:rPr>
        <w:t xml:space="preserve"> one of the swabs to conduct on-site antigen testing per the manufacturer instructions and record</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 result in a REDCap data entry form. Enrolled NH staff self-collect</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their own swabs and perform</w:t>
      </w:r>
      <w:r w:rsidR="00B237ED">
        <w:rPr>
          <w:rFonts w:asciiTheme="majorBidi" w:hAnsiTheme="majorBidi" w:cstheme="majorBidi"/>
          <w:sz w:val="24"/>
          <w:szCs w:val="24"/>
        </w:rPr>
        <w:t>ed</w:t>
      </w:r>
      <w:r w:rsidRPr="00842EB0">
        <w:rPr>
          <w:rFonts w:asciiTheme="majorBidi" w:hAnsiTheme="majorBidi" w:cstheme="majorBidi"/>
          <w:sz w:val="24"/>
          <w:szCs w:val="24"/>
        </w:rPr>
        <w:t xml:space="preserve"> antigen testing themselves using the manufacturer instructions and</w:t>
      </w:r>
      <w:r w:rsidR="00B237ED">
        <w:rPr>
          <w:rFonts w:asciiTheme="majorBidi" w:hAnsiTheme="majorBidi" w:cstheme="majorBidi"/>
          <w:sz w:val="24"/>
          <w:szCs w:val="24"/>
        </w:rPr>
        <w:t xml:space="preserve"> then</w:t>
      </w:r>
      <w:r w:rsidRPr="00842EB0">
        <w:rPr>
          <w:rFonts w:asciiTheme="majorBidi" w:hAnsiTheme="majorBidi" w:cstheme="majorBidi"/>
          <w:sz w:val="24"/>
          <w:szCs w:val="24"/>
        </w:rPr>
        <w:t xml:space="preserve"> enter</w:t>
      </w:r>
      <w:r w:rsidR="00B237ED">
        <w:rPr>
          <w:rFonts w:asciiTheme="majorBidi" w:hAnsiTheme="majorBidi" w:cstheme="majorBidi"/>
          <w:sz w:val="24"/>
          <w:szCs w:val="24"/>
        </w:rPr>
        <w:t>ed</w:t>
      </w:r>
      <w:r w:rsidRPr="00842EB0">
        <w:rPr>
          <w:rFonts w:asciiTheme="majorBidi" w:hAnsiTheme="majorBidi" w:cstheme="majorBidi"/>
          <w:sz w:val="24"/>
          <w:szCs w:val="24"/>
        </w:rPr>
        <w:t xml:space="preserve"> their result directly into the REDCap web form that </w:t>
      </w:r>
      <w:r w:rsidR="00B237ED">
        <w:rPr>
          <w:rFonts w:asciiTheme="majorBidi" w:hAnsiTheme="majorBidi" w:cstheme="majorBidi"/>
          <w:sz w:val="24"/>
          <w:szCs w:val="24"/>
        </w:rPr>
        <w:t>wa</w:t>
      </w:r>
      <w:r w:rsidRPr="00842EB0">
        <w:rPr>
          <w:rFonts w:asciiTheme="majorBidi" w:hAnsiTheme="majorBidi" w:cstheme="majorBidi"/>
          <w:sz w:val="24"/>
          <w:szCs w:val="24"/>
        </w:rPr>
        <w:t xml:space="preserve">s sent via text message or email. </w:t>
      </w:r>
    </w:p>
    <w:p w14:paraId="733E74D1" w14:textId="77777777" w:rsidR="00842EB0" w:rsidRPr="00842EB0" w:rsidRDefault="00842EB0" w:rsidP="00842EB0">
      <w:pPr>
        <w:spacing w:after="0" w:line="240" w:lineRule="auto"/>
        <w:rPr>
          <w:rFonts w:asciiTheme="majorBidi" w:hAnsiTheme="majorBidi" w:cstheme="majorBidi"/>
          <w:sz w:val="24"/>
          <w:szCs w:val="24"/>
        </w:rPr>
      </w:pPr>
    </w:p>
    <w:p w14:paraId="3E1475FB" w14:textId="7D44AB1D" w:rsidR="00842EB0" w:rsidRPr="00842EB0" w:rsidRDefault="00842EB0" w:rsidP="00842EB0">
      <w:pPr>
        <w:spacing w:after="0" w:line="240" w:lineRule="auto"/>
        <w:rPr>
          <w:rFonts w:asciiTheme="majorBidi" w:hAnsiTheme="majorBidi" w:cstheme="majorBidi"/>
          <w:sz w:val="24"/>
          <w:szCs w:val="24"/>
        </w:rPr>
      </w:pPr>
      <w:r w:rsidRPr="00842EB0">
        <w:rPr>
          <w:rFonts w:asciiTheme="majorBidi" w:hAnsiTheme="majorBidi" w:cstheme="majorBidi"/>
          <w:sz w:val="24"/>
          <w:szCs w:val="24"/>
        </w:rPr>
        <w:t xml:space="preserve">For both NH residents and staff, the other nasal swab </w:t>
      </w:r>
      <w:r w:rsidR="00B237ED">
        <w:rPr>
          <w:rFonts w:asciiTheme="majorBidi" w:hAnsiTheme="majorBidi" w:cstheme="majorBidi"/>
          <w:sz w:val="24"/>
          <w:szCs w:val="24"/>
        </w:rPr>
        <w:t>wa</w:t>
      </w:r>
      <w:r w:rsidRPr="00842EB0">
        <w:rPr>
          <w:rFonts w:asciiTheme="majorBidi" w:hAnsiTheme="majorBidi" w:cstheme="majorBidi"/>
          <w:sz w:val="24"/>
          <w:szCs w:val="24"/>
        </w:rPr>
        <w:t xml:space="preserve">s shipped to Marshfield Clinic Research Institute. The second nasal swab </w:t>
      </w:r>
      <w:r w:rsidR="00FE1606">
        <w:rPr>
          <w:rFonts w:asciiTheme="majorBidi" w:hAnsiTheme="majorBidi" w:cstheme="majorBidi"/>
          <w:sz w:val="24"/>
          <w:szCs w:val="24"/>
        </w:rPr>
        <w:t>wa</w:t>
      </w:r>
      <w:r w:rsidRPr="00842EB0">
        <w:rPr>
          <w:rFonts w:asciiTheme="majorBidi" w:hAnsiTheme="majorBidi" w:cstheme="majorBidi"/>
          <w:sz w:val="24"/>
          <w:szCs w:val="24"/>
        </w:rPr>
        <w:t xml:space="preserve">s tested by RT-PCR assay using the TaqPath COVID-19, FluA, FluB Combo Kit on QuantStudio 7 Pro which provides results for SARS-CoV-2, influenza A, and influenza B. Specimens with a SARS-CoV-2 Ct value less than 30 undergo qRT-PCR using the CDC Influenza SARS-CoV-2 (Flu SC2) Multiplex Assay on ABT 7500 Fast Dx. </w:t>
      </w:r>
    </w:p>
    <w:p w14:paraId="31FEE1FF" w14:textId="77777777" w:rsidR="00842EB0" w:rsidRPr="00842EB0" w:rsidRDefault="00842EB0" w:rsidP="00842EB0">
      <w:pPr>
        <w:spacing w:after="0" w:line="240" w:lineRule="auto"/>
        <w:rPr>
          <w:rFonts w:asciiTheme="majorBidi" w:hAnsiTheme="majorBidi" w:cstheme="majorBidi"/>
          <w:sz w:val="24"/>
          <w:szCs w:val="24"/>
        </w:rPr>
      </w:pPr>
    </w:p>
    <w:p w14:paraId="1A30B5E0" w14:textId="29143060" w:rsidR="00842EB0" w:rsidRPr="00842EB0"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For NH residents participating in Tier 2 (ongoing virologic monitoring on days 1-14), viral culture </w:t>
      </w:r>
      <w:r w:rsidR="57703286"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on one RT-PCR positive specimen with a Ct value less than 30 collected from each of set of days 1-2, 3-5, 6-8, 9-11, and 12-14. If there </w:t>
      </w:r>
      <w:r w:rsidR="178CBB2D" w:rsidRPr="1AFACCD6">
        <w:rPr>
          <w:rFonts w:asciiTheme="majorBidi" w:hAnsiTheme="majorBidi" w:cstheme="majorBidi"/>
          <w:sz w:val="24"/>
          <w:szCs w:val="24"/>
        </w:rPr>
        <w:t>we</w:t>
      </w:r>
      <w:r w:rsidRPr="1AFACCD6">
        <w:rPr>
          <w:rFonts w:asciiTheme="majorBidi" w:hAnsiTheme="majorBidi" w:cstheme="majorBidi"/>
          <w:sz w:val="24"/>
          <w:szCs w:val="24"/>
        </w:rPr>
        <w:t xml:space="preserve">re multiple samples that </w:t>
      </w:r>
      <w:r w:rsidR="178CBB2D" w:rsidRPr="1AFACCD6">
        <w:rPr>
          <w:rFonts w:asciiTheme="majorBidi" w:hAnsiTheme="majorBidi" w:cstheme="majorBidi"/>
          <w:sz w:val="24"/>
          <w:szCs w:val="24"/>
        </w:rPr>
        <w:t>we</w:t>
      </w:r>
      <w:r w:rsidRPr="1AFACCD6">
        <w:rPr>
          <w:rFonts w:asciiTheme="majorBidi" w:hAnsiTheme="majorBidi" w:cstheme="majorBidi"/>
          <w:sz w:val="24"/>
          <w:szCs w:val="24"/>
        </w:rPr>
        <w:t xml:space="preserve">re positive with a cycle threshold (Ct) value less than 30 in one </w:t>
      </w:r>
      <w:bookmarkStart w:id="7" w:name="_Int_QN2ICpUu"/>
      <w:r w:rsidRPr="1AFACCD6">
        <w:rPr>
          <w:rFonts w:asciiTheme="majorBidi" w:hAnsiTheme="majorBidi" w:cstheme="majorBidi"/>
          <w:sz w:val="24"/>
          <w:szCs w:val="24"/>
        </w:rPr>
        <w:t>time period</w:t>
      </w:r>
      <w:bookmarkEnd w:id="7"/>
      <w:r w:rsidRPr="1AFACCD6">
        <w:rPr>
          <w:rFonts w:asciiTheme="majorBidi" w:hAnsiTheme="majorBidi" w:cstheme="majorBidi"/>
          <w:sz w:val="24"/>
          <w:szCs w:val="24"/>
        </w:rPr>
        <w:t xml:space="preserve">, culture </w:t>
      </w:r>
      <w:r w:rsidR="178CBB2D"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on the specimen with the highest viral load, as determined by qRT-PCR. For NH residents and staff in Tier 3 (long-term virologic monitoring), viral culture </w:t>
      </w:r>
      <w:r w:rsidR="178CBB2D"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on any RT-PCR positive specimen from days 31-90. Viral culture </w:t>
      </w:r>
      <w:r w:rsidR="178CBB2D" w:rsidRPr="1AFACCD6">
        <w:rPr>
          <w:rFonts w:asciiTheme="majorBidi" w:hAnsiTheme="majorBidi" w:cstheme="majorBidi"/>
          <w:sz w:val="24"/>
          <w:szCs w:val="24"/>
        </w:rPr>
        <w:t>wa</w:t>
      </w:r>
      <w:r w:rsidRPr="1AFACCD6">
        <w:rPr>
          <w:rFonts w:asciiTheme="majorBidi" w:hAnsiTheme="majorBidi" w:cstheme="majorBidi"/>
          <w:sz w:val="24"/>
          <w:szCs w:val="24"/>
        </w:rPr>
        <w:t xml:space="preserve">s performed by St. Jude Children’s Research Hospital (Memphis, TN). </w:t>
      </w:r>
    </w:p>
    <w:p w14:paraId="59BE1BBB" w14:textId="77777777" w:rsidR="00842EB0" w:rsidRPr="00842EB0" w:rsidRDefault="00842EB0" w:rsidP="00842EB0">
      <w:pPr>
        <w:spacing w:after="0" w:line="240" w:lineRule="auto"/>
        <w:rPr>
          <w:rFonts w:asciiTheme="majorBidi" w:hAnsiTheme="majorBidi" w:cstheme="majorBidi"/>
          <w:sz w:val="24"/>
          <w:szCs w:val="24"/>
        </w:rPr>
      </w:pPr>
    </w:p>
    <w:p w14:paraId="6D3AA81A" w14:textId="1B91C173" w:rsidR="00842EB0" w:rsidRPr="00842EB0"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Specimens with an RT-PCR Ct value less than 30 </w:t>
      </w:r>
      <w:r w:rsidR="178CBB2D" w:rsidRPr="1AFACCD6">
        <w:rPr>
          <w:rFonts w:asciiTheme="majorBidi" w:hAnsiTheme="majorBidi" w:cstheme="majorBidi"/>
          <w:sz w:val="24"/>
          <w:szCs w:val="24"/>
        </w:rPr>
        <w:t>we</w:t>
      </w:r>
      <w:r w:rsidRPr="1AFACCD6">
        <w:rPr>
          <w:rFonts w:asciiTheme="majorBidi" w:hAnsiTheme="majorBidi" w:cstheme="majorBidi"/>
          <w:sz w:val="24"/>
          <w:szCs w:val="24"/>
        </w:rPr>
        <w:t xml:space="preserve">re also eligible for whole genome sequencing (WGS). For enrolled NH residents and staff participating in daily testing (Tier 2), the first specimen with an RT-PCR Ct value less than 25 </w:t>
      </w:r>
      <w:r w:rsidR="21B7D36B" w:rsidRPr="1AFACCD6">
        <w:rPr>
          <w:rFonts w:asciiTheme="majorBidi" w:hAnsiTheme="majorBidi" w:cstheme="majorBidi"/>
          <w:sz w:val="24"/>
          <w:szCs w:val="24"/>
        </w:rPr>
        <w:t>underwent</w:t>
      </w:r>
      <w:r w:rsidRPr="1AFACCD6">
        <w:rPr>
          <w:rFonts w:asciiTheme="majorBidi" w:hAnsiTheme="majorBidi" w:cstheme="majorBidi"/>
          <w:sz w:val="24"/>
          <w:szCs w:val="24"/>
        </w:rPr>
        <w:t xml:space="preserve"> WGS. If no specimen from Tier 2 testing ha</w:t>
      </w:r>
      <w:r w:rsidR="21B7D36B" w:rsidRPr="1AFACCD6">
        <w:rPr>
          <w:rFonts w:asciiTheme="majorBidi" w:hAnsiTheme="majorBidi" w:cstheme="majorBidi"/>
          <w:sz w:val="24"/>
          <w:szCs w:val="24"/>
        </w:rPr>
        <w:t>d</w:t>
      </w:r>
      <w:r w:rsidRPr="1AFACCD6">
        <w:rPr>
          <w:rFonts w:asciiTheme="majorBidi" w:hAnsiTheme="majorBidi" w:cstheme="majorBidi"/>
          <w:sz w:val="24"/>
          <w:szCs w:val="24"/>
        </w:rPr>
        <w:t xml:space="preserve"> a Ct value less than 25, but at least one specimen ha</w:t>
      </w:r>
      <w:r w:rsidR="21B7D36B" w:rsidRPr="1AFACCD6">
        <w:rPr>
          <w:rFonts w:asciiTheme="majorBidi" w:hAnsiTheme="majorBidi" w:cstheme="majorBidi"/>
          <w:sz w:val="24"/>
          <w:szCs w:val="24"/>
        </w:rPr>
        <w:t>d</w:t>
      </w:r>
      <w:r w:rsidRPr="1AFACCD6">
        <w:rPr>
          <w:rFonts w:asciiTheme="majorBidi" w:hAnsiTheme="majorBidi" w:cstheme="majorBidi"/>
          <w:sz w:val="24"/>
          <w:szCs w:val="24"/>
        </w:rPr>
        <w:t xml:space="preserve"> a Ct value lower than 30, the specimen with the Ct value closest to 25 </w:t>
      </w:r>
      <w:r w:rsidR="21B7D36B" w:rsidRPr="1AFACCD6">
        <w:rPr>
          <w:rFonts w:asciiTheme="majorBidi" w:hAnsiTheme="majorBidi" w:cstheme="majorBidi"/>
          <w:sz w:val="24"/>
          <w:szCs w:val="24"/>
        </w:rPr>
        <w:t>was</w:t>
      </w:r>
      <w:r w:rsidRPr="1AFACCD6">
        <w:rPr>
          <w:rFonts w:asciiTheme="majorBidi" w:hAnsiTheme="majorBidi" w:cstheme="majorBidi"/>
          <w:sz w:val="24"/>
          <w:szCs w:val="24"/>
        </w:rPr>
        <w:t xml:space="preserve"> sequenced. For those in Tier 3, the last positive specimen with a Ct value less than 30 </w:t>
      </w:r>
      <w:r w:rsidR="21B7D36B" w:rsidRPr="1AFACCD6">
        <w:rPr>
          <w:rFonts w:asciiTheme="majorBidi" w:hAnsiTheme="majorBidi" w:cstheme="majorBidi"/>
          <w:sz w:val="24"/>
          <w:szCs w:val="24"/>
        </w:rPr>
        <w:t>received</w:t>
      </w:r>
      <w:r w:rsidRPr="1AFACCD6">
        <w:rPr>
          <w:rFonts w:asciiTheme="majorBidi" w:hAnsiTheme="majorBidi" w:cstheme="majorBidi"/>
          <w:sz w:val="24"/>
          <w:szCs w:val="24"/>
        </w:rPr>
        <w:t xml:space="preserve"> WGS and additional positive specimens </w:t>
      </w:r>
      <w:r w:rsidR="0CE92E1A" w:rsidRPr="1AFACCD6">
        <w:rPr>
          <w:rFonts w:asciiTheme="majorBidi" w:hAnsiTheme="majorBidi" w:cstheme="majorBidi"/>
          <w:sz w:val="24"/>
          <w:szCs w:val="24"/>
        </w:rPr>
        <w:t>were tested</w:t>
      </w:r>
      <w:r w:rsidRPr="1AFACCD6">
        <w:rPr>
          <w:rFonts w:asciiTheme="majorBidi" w:hAnsiTheme="majorBidi" w:cstheme="majorBidi"/>
          <w:sz w:val="24"/>
          <w:szCs w:val="24"/>
        </w:rPr>
        <w:t xml:space="preserve">. Additionally, WGS </w:t>
      </w:r>
      <w:r w:rsidR="0CE92E1A" w:rsidRPr="1AFACCD6">
        <w:rPr>
          <w:rFonts w:asciiTheme="majorBidi" w:hAnsiTheme="majorBidi" w:cstheme="majorBidi"/>
          <w:sz w:val="24"/>
          <w:szCs w:val="24"/>
        </w:rPr>
        <w:t>was</w:t>
      </w:r>
      <w:r w:rsidRPr="1AFACCD6">
        <w:rPr>
          <w:rFonts w:asciiTheme="majorBidi" w:hAnsiTheme="majorBidi" w:cstheme="majorBidi"/>
          <w:sz w:val="24"/>
          <w:szCs w:val="24"/>
        </w:rPr>
        <w:t xml:space="preserve"> repeated if there is a concern that the participant has a new infection based on clinical (e.g., development of new COVID-19 symptoms) or epidemiological (e.g., new exposure) factors. The remaining aliquots of specimens </w:t>
      </w:r>
      <w:r w:rsidR="0CE92E1A" w:rsidRPr="1AFACCD6">
        <w:rPr>
          <w:rFonts w:asciiTheme="majorBidi" w:hAnsiTheme="majorBidi" w:cstheme="majorBidi"/>
          <w:sz w:val="24"/>
          <w:szCs w:val="24"/>
        </w:rPr>
        <w:t xml:space="preserve">were stored for </w:t>
      </w:r>
      <w:r w:rsidR="006A6590" w:rsidRPr="1AFACCD6">
        <w:rPr>
          <w:rFonts w:asciiTheme="majorBidi" w:hAnsiTheme="majorBidi" w:cstheme="majorBidi"/>
          <w:sz w:val="24"/>
          <w:szCs w:val="24"/>
        </w:rPr>
        <w:t>potential future</w:t>
      </w:r>
      <w:r w:rsidR="0CE92E1A" w:rsidRPr="1AFACCD6">
        <w:rPr>
          <w:rFonts w:asciiTheme="majorBidi" w:hAnsiTheme="majorBidi" w:cstheme="majorBidi"/>
          <w:sz w:val="24"/>
          <w:szCs w:val="24"/>
        </w:rPr>
        <w:t xml:space="preserve"> testing</w:t>
      </w:r>
      <w:r w:rsidRPr="1AFACCD6">
        <w:rPr>
          <w:rFonts w:asciiTheme="majorBidi" w:hAnsiTheme="majorBidi" w:cstheme="majorBidi"/>
          <w:sz w:val="24"/>
          <w:szCs w:val="24"/>
        </w:rPr>
        <w:t>.</w:t>
      </w:r>
    </w:p>
    <w:p w14:paraId="008A535F" w14:textId="77777777" w:rsidR="00842EB0" w:rsidRDefault="00842EB0" w:rsidP="00842EB0">
      <w:pPr>
        <w:spacing w:after="0" w:line="240" w:lineRule="auto"/>
        <w:rPr>
          <w:rFonts w:asciiTheme="majorBidi" w:hAnsiTheme="majorBidi" w:cstheme="majorBidi"/>
          <w:sz w:val="24"/>
          <w:szCs w:val="24"/>
        </w:rPr>
      </w:pPr>
    </w:p>
    <w:p w14:paraId="22EC0F3E" w14:textId="77777777" w:rsidR="000B48D5" w:rsidRPr="000B48D5" w:rsidRDefault="000B48D5" w:rsidP="000B48D5">
      <w:pPr>
        <w:spacing w:after="0" w:line="240" w:lineRule="auto"/>
        <w:rPr>
          <w:rFonts w:asciiTheme="majorBidi" w:hAnsiTheme="majorBidi" w:cstheme="majorBidi"/>
          <w:sz w:val="24"/>
          <w:szCs w:val="24"/>
          <w:u w:val="single"/>
        </w:rPr>
      </w:pPr>
      <w:r w:rsidRPr="000B48D5">
        <w:rPr>
          <w:rFonts w:asciiTheme="majorBidi" w:hAnsiTheme="majorBidi" w:cstheme="majorBidi"/>
          <w:sz w:val="24"/>
          <w:szCs w:val="24"/>
          <w:u w:val="single"/>
        </w:rPr>
        <w:t>Data Management and Quality</w:t>
      </w:r>
    </w:p>
    <w:p w14:paraId="280D5D8C" w14:textId="32E2850B" w:rsidR="005B69A6" w:rsidRPr="001005E2" w:rsidRDefault="74436A47"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The REDCap project used several approaches to ensure high-quality data including branching logic, data validation, range checks, and automated skip patterns. Additionally, study staff perform</w:t>
      </w:r>
      <w:r w:rsidR="58EBE896" w:rsidRPr="1AFACCD6">
        <w:rPr>
          <w:rFonts w:asciiTheme="majorBidi" w:hAnsiTheme="majorBidi" w:cstheme="majorBidi"/>
          <w:sz w:val="24"/>
          <w:szCs w:val="24"/>
        </w:rPr>
        <w:t>ed</w:t>
      </w:r>
      <w:r w:rsidRPr="1AFACCD6">
        <w:rPr>
          <w:rFonts w:asciiTheme="majorBidi" w:hAnsiTheme="majorBidi" w:cstheme="majorBidi"/>
          <w:sz w:val="24"/>
          <w:szCs w:val="24"/>
        </w:rPr>
        <w:t xml:space="preserve"> regular, frequent</w:t>
      </w:r>
      <w:r w:rsidR="68A95340" w:rsidRPr="1AFACCD6">
        <w:rPr>
          <w:rFonts w:asciiTheme="majorBidi" w:hAnsiTheme="majorBidi" w:cstheme="majorBidi"/>
          <w:sz w:val="24"/>
          <w:szCs w:val="24"/>
        </w:rPr>
        <w:t xml:space="preserve"> data</w:t>
      </w:r>
      <w:r w:rsidRPr="1AFACCD6">
        <w:rPr>
          <w:rFonts w:asciiTheme="majorBidi" w:hAnsiTheme="majorBidi" w:cstheme="majorBidi"/>
          <w:sz w:val="24"/>
          <w:szCs w:val="24"/>
        </w:rPr>
        <w:t xml:space="preserve"> quality checks and study sites review</w:t>
      </w:r>
      <w:r w:rsidR="68A95340" w:rsidRPr="1AFACCD6">
        <w:rPr>
          <w:rFonts w:asciiTheme="majorBidi" w:hAnsiTheme="majorBidi" w:cstheme="majorBidi"/>
          <w:sz w:val="24"/>
          <w:szCs w:val="24"/>
        </w:rPr>
        <w:t>ed</w:t>
      </w:r>
      <w:r w:rsidRPr="1AFACCD6">
        <w:rPr>
          <w:rFonts w:asciiTheme="majorBidi" w:hAnsiTheme="majorBidi" w:cstheme="majorBidi"/>
          <w:sz w:val="24"/>
          <w:szCs w:val="24"/>
        </w:rPr>
        <w:t xml:space="preserve"> the results of these checks and verif</w:t>
      </w:r>
      <w:r w:rsidR="58EBE896" w:rsidRPr="1AFACCD6">
        <w:rPr>
          <w:rFonts w:asciiTheme="majorBidi" w:hAnsiTheme="majorBidi" w:cstheme="majorBidi"/>
          <w:sz w:val="24"/>
          <w:szCs w:val="24"/>
        </w:rPr>
        <w:t>ied</w:t>
      </w:r>
      <w:r w:rsidRPr="1AFACCD6">
        <w:rPr>
          <w:rFonts w:asciiTheme="majorBidi" w:hAnsiTheme="majorBidi" w:cstheme="majorBidi"/>
          <w:sz w:val="24"/>
          <w:szCs w:val="24"/>
        </w:rPr>
        <w:t xml:space="preserve"> or correct</w:t>
      </w:r>
      <w:r w:rsidR="58EBE896" w:rsidRPr="1AFACCD6">
        <w:rPr>
          <w:rFonts w:asciiTheme="majorBidi" w:hAnsiTheme="majorBidi" w:cstheme="majorBidi"/>
          <w:sz w:val="24"/>
          <w:szCs w:val="24"/>
        </w:rPr>
        <w:t>ed the data</w:t>
      </w:r>
      <w:r w:rsidRPr="1AFACCD6">
        <w:rPr>
          <w:rFonts w:asciiTheme="majorBidi" w:hAnsiTheme="majorBidi" w:cstheme="majorBidi"/>
          <w:sz w:val="24"/>
          <w:szCs w:val="24"/>
        </w:rPr>
        <w:t xml:space="preserve"> if necessary. </w:t>
      </w:r>
    </w:p>
    <w:p w14:paraId="5C32D5E7" w14:textId="61205723" w:rsidR="005B69A6" w:rsidRPr="001005E2" w:rsidRDefault="005B69A6" w:rsidP="1AFACCD6">
      <w:pPr>
        <w:spacing w:after="0" w:line="240" w:lineRule="auto"/>
      </w:pPr>
    </w:p>
    <w:p w14:paraId="570743AE" w14:textId="376A3FA3" w:rsidR="005B69A6" w:rsidRPr="00842EB0" w:rsidRDefault="005B69A6" w:rsidP="1AFACCD6">
      <w:pPr>
        <w:spacing w:after="0" w:line="240" w:lineRule="auto"/>
      </w:pPr>
    </w:p>
    <w:p w14:paraId="6BA2A1BA" w14:textId="77777777" w:rsidR="00842EB0" w:rsidRPr="00842EB0" w:rsidRDefault="00842EB0" w:rsidP="00842EB0">
      <w:pPr>
        <w:spacing w:after="0" w:line="240" w:lineRule="auto"/>
        <w:rPr>
          <w:rFonts w:asciiTheme="majorBidi" w:hAnsiTheme="majorBidi" w:cstheme="majorBidi"/>
          <w:sz w:val="24"/>
          <w:szCs w:val="24"/>
          <w:u w:val="single"/>
        </w:rPr>
      </w:pPr>
      <w:r w:rsidRPr="00842EB0">
        <w:rPr>
          <w:rFonts w:asciiTheme="majorBidi" w:hAnsiTheme="majorBidi" w:cstheme="majorBidi"/>
          <w:sz w:val="24"/>
          <w:szCs w:val="24"/>
          <w:u w:val="single"/>
        </w:rPr>
        <w:t>Ethical Approval and Considerations</w:t>
      </w:r>
    </w:p>
    <w:p w14:paraId="59235EDF" w14:textId="327647F7" w:rsidR="00842EB0" w:rsidRPr="00842EB0" w:rsidRDefault="00842EB0" w:rsidP="1AFACCD6">
      <w:pPr>
        <w:spacing w:after="0" w:line="240" w:lineRule="auto"/>
        <w:rPr>
          <w:rFonts w:asciiTheme="majorBidi" w:hAnsiTheme="majorBidi" w:cstheme="majorBidi"/>
          <w:sz w:val="24"/>
          <w:szCs w:val="24"/>
        </w:rPr>
      </w:pPr>
      <w:r w:rsidRPr="1AFACCD6">
        <w:rPr>
          <w:rFonts w:asciiTheme="majorBidi" w:hAnsiTheme="majorBidi" w:cstheme="majorBidi"/>
          <w:sz w:val="24"/>
          <w:szCs w:val="24"/>
        </w:rPr>
        <w:t xml:space="preserve">The study protocol has been reviewed and approved by the Abt </w:t>
      </w:r>
      <w:bookmarkStart w:id="8" w:name="_Int_jXyvoIhM"/>
      <w:r w:rsidRPr="1AFACCD6">
        <w:rPr>
          <w:rFonts w:asciiTheme="majorBidi" w:hAnsiTheme="majorBidi" w:cstheme="majorBidi"/>
          <w:sz w:val="24"/>
          <w:szCs w:val="24"/>
        </w:rPr>
        <w:t>IRB</w:t>
      </w:r>
      <w:bookmarkEnd w:id="8"/>
      <w:r w:rsidR="006A6590" w:rsidRPr="1AFACCD6">
        <w:rPr>
          <w:rFonts w:asciiTheme="majorBidi" w:hAnsiTheme="majorBidi" w:cstheme="majorBidi"/>
          <w:sz w:val="24"/>
          <w:szCs w:val="24"/>
        </w:rPr>
        <w:t>,</w:t>
      </w:r>
      <w:r w:rsidRPr="1AFACCD6">
        <w:rPr>
          <w:rFonts w:asciiTheme="majorBidi" w:hAnsiTheme="majorBidi" w:cstheme="majorBidi"/>
          <w:sz w:val="24"/>
          <w:szCs w:val="24"/>
        </w:rPr>
        <w:t xml:space="preserve"> which is the IRB of record for each study site. All individuals participating in Tiers 2 and 3 provide informed consent. Small stipends </w:t>
      </w:r>
      <w:r w:rsidR="006A6590" w:rsidRPr="1AFACCD6">
        <w:rPr>
          <w:rFonts w:asciiTheme="majorBidi" w:hAnsiTheme="majorBidi" w:cstheme="majorBidi"/>
          <w:sz w:val="24"/>
          <w:szCs w:val="24"/>
        </w:rPr>
        <w:t>were</w:t>
      </w:r>
      <w:r w:rsidRPr="1AFACCD6">
        <w:rPr>
          <w:rFonts w:asciiTheme="majorBidi" w:hAnsiTheme="majorBidi" w:cstheme="majorBidi"/>
          <w:sz w:val="24"/>
          <w:szCs w:val="24"/>
        </w:rPr>
        <w:t xml:space="preserve"> given to these participants for completing study activities. Stipend amounts and format </w:t>
      </w:r>
      <w:r w:rsidR="005D63CE" w:rsidRPr="1AFACCD6">
        <w:rPr>
          <w:rFonts w:asciiTheme="majorBidi" w:hAnsiTheme="majorBidi" w:cstheme="majorBidi"/>
          <w:sz w:val="24"/>
          <w:szCs w:val="24"/>
        </w:rPr>
        <w:t>we</w:t>
      </w:r>
      <w:r w:rsidRPr="1AFACCD6">
        <w:rPr>
          <w:rFonts w:asciiTheme="majorBidi" w:hAnsiTheme="majorBidi" w:cstheme="majorBidi"/>
          <w:sz w:val="24"/>
          <w:szCs w:val="24"/>
        </w:rPr>
        <w:t>re determined on a site-specific basis so that study sites c</w:t>
      </w:r>
      <w:r w:rsidR="005D63CE" w:rsidRPr="1AFACCD6">
        <w:rPr>
          <w:rFonts w:asciiTheme="majorBidi" w:hAnsiTheme="majorBidi" w:cstheme="majorBidi"/>
          <w:sz w:val="24"/>
          <w:szCs w:val="24"/>
        </w:rPr>
        <w:t>ould</w:t>
      </w:r>
      <w:r w:rsidRPr="1AFACCD6">
        <w:rPr>
          <w:rFonts w:asciiTheme="majorBidi" w:hAnsiTheme="majorBidi" w:cstheme="majorBidi"/>
          <w:sz w:val="24"/>
          <w:szCs w:val="24"/>
        </w:rPr>
        <w:t xml:space="preserve"> ensure that </w:t>
      </w:r>
      <w:r w:rsidR="005D63CE" w:rsidRPr="1AFACCD6">
        <w:rPr>
          <w:rFonts w:asciiTheme="majorBidi" w:hAnsiTheme="majorBidi" w:cstheme="majorBidi"/>
          <w:sz w:val="24"/>
          <w:szCs w:val="24"/>
        </w:rPr>
        <w:t>they were</w:t>
      </w:r>
      <w:r w:rsidRPr="1AFACCD6">
        <w:rPr>
          <w:rFonts w:asciiTheme="majorBidi" w:hAnsiTheme="majorBidi" w:cstheme="majorBidi"/>
          <w:sz w:val="24"/>
          <w:szCs w:val="24"/>
        </w:rPr>
        <w:t xml:space="preserve"> context-appropriate and compl</w:t>
      </w:r>
      <w:r w:rsidR="005D63CE" w:rsidRPr="1AFACCD6">
        <w:rPr>
          <w:rFonts w:asciiTheme="majorBidi" w:hAnsiTheme="majorBidi" w:cstheme="majorBidi"/>
          <w:sz w:val="24"/>
          <w:szCs w:val="24"/>
        </w:rPr>
        <w:t>ied</w:t>
      </w:r>
      <w:r w:rsidRPr="1AFACCD6">
        <w:rPr>
          <w:rFonts w:asciiTheme="majorBidi" w:hAnsiTheme="majorBidi" w:cstheme="majorBidi"/>
          <w:sz w:val="24"/>
          <w:szCs w:val="24"/>
        </w:rPr>
        <w:t xml:space="preserve"> with institutional- and state-specific policies and regulations regarding compensation from participating in research studies. </w:t>
      </w:r>
    </w:p>
    <w:p w14:paraId="6CEDDE01" w14:textId="77777777" w:rsidR="00842EB0" w:rsidRPr="00532098" w:rsidRDefault="00842EB0" w:rsidP="00D91AA0">
      <w:pPr>
        <w:spacing w:after="0" w:line="240" w:lineRule="auto"/>
        <w:rPr>
          <w:rFonts w:asciiTheme="majorBidi" w:hAnsiTheme="majorBidi" w:cstheme="majorBidi"/>
          <w:sz w:val="24"/>
          <w:szCs w:val="24"/>
        </w:rPr>
      </w:pPr>
    </w:p>
    <w:sectPr w:rsidR="00842EB0" w:rsidRPr="005320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RGk8jaAASDe04q" int2:id="sQDsSPld">
      <int2:state int2:value="Rejected" int2:type="AugLoop_Text_Critique"/>
    </int2:textHash>
    <int2:textHash int2:hashCode="5mKVIa+4Plyuoq" int2:id="6VMv1l9R">
      <int2:state int2:value="Rejected" int2:type="AugLoop_Text_Critique"/>
    </int2:textHash>
    <int2:textHash int2:hashCode="kaZyiI3L7X3qhv" int2:id="pqD6UB1p">
      <int2:state int2:value="Rejected" int2:type="AugLoop_Text_Critique"/>
    </int2:textHash>
    <int2:textHash int2:hashCode="ZplYmInqO2Wvxs" int2:id="UA9Iv5ZB">
      <int2:state int2:value="Rejected" int2:type="AugLoop_Text_Critique"/>
    </int2:textHash>
    <int2:textHash int2:hashCode="2WPoBg0lx/4ekz" int2:id="wi75TjjJ">
      <int2:state int2:value="Rejected" int2:type="AugLoop_Text_Critique"/>
    </int2:textHash>
    <int2:bookmark int2:bookmarkName="_Int_VTwuFipW" int2:invalidationBookmarkName="" int2:hashCode="zY35RaEegEBz0C" int2:id="Rg1lEbvW">
      <int2:state int2:value="Rejected" int2:type="AugLoop_Text_Critique"/>
    </int2:bookmark>
    <int2:bookmark int2:bookmarkName="_Int_O1fHZbkd" int2:invalidationBookmarkName="" int2:hashCode="F25ZWgi0+Qn/Ny" int2:id="Ri9LLfvV">
      <int2:state int2:value="Rejected" int2:type="AugLoop_Text_Critique"/>
    </int2:bookmark>
    <int2:bookmark int2:bookmarkName="_Int_QN2ICpUu" int2:invalidationBookmarkName="" int2:hashCode="Xsnww9aQQK/jqv" int2:id="9T5TVAtn">
      <int2:state int2:value="Rejected" int2:type="AugLoop_Text_Critique"/>
    </int2:bookmark>
    <int2:bookmark int2:bookmarkName="_Int_1qAnczq2" int2:invalidationBookmarkName="" int2:hashCode="NctikSZ+qOWZ+6" int2:id="Qy8uPfFT">
      <int2:state int2:value="Rejected" int2:type="AugLoop_Text_Critique"/>
    </int2:bookmark>
    <int2:bookmark int2:bookmarkName="_Int_tg9MF9ft" int2:invalidationBookmarkName="" int2:hashCode="OXIkoW4E4oWvol" int2:id="UfzLwGgX">
      <int2:state int2:value="Rejected" int2:type="AugLoop_Acronyms_AcronymsCritique"/>
    </int2:bookmark>
    <int2:bookmark int2:bookmarkName="_Int_vKmZ9tZD" int2:invalidationBookmarkName="" int2:hashCode="qL2EO5idScskOt" int2:id="ZInDkkYE">
      <int2:state int2:value="Rejected" int2:type="AugLoop_Acronyms_AcronymsCritique"/>
    </int2:bookmark>
    <int2:bookmark int2:bookmarkName="_Int_jXyvoIhM" int2:invalidationBookmarkName="" int2:hashCode="l6gGHjp0lvu38n" int2:id="jsSm8pXl">
      <int2:state int2:value="Rejected" int2:type="AugLoop_Acronyms_AcronymsCritique"/>
    </int2:bookmark>
    <int2:bookmark int2:bookmarkName="_Int_wykRnxrC" int2:invalidationBookmarkName="" int2:hashCode="bjy124o04G58Ve" int2:id="xEpsYhOP">
      <int2:state int2:value="Rejected" int2:type="AugLoop_Acronyms_Acronyms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E8037D"/>
    <w:multiLevelType w:val="hybridMultilevel"/>
    <w:tmpl w:val="1A188710"/>
    <w:lvl w:ilvl="0" w:tplc="FDF2CB0C">
      <w:start w:val="1"/>
      <w:numFmt w:val="decimal"/>
      <w:lvlText w:val="%1."/>
      <w:lvlJc w:val="left"/>
      <w:pPr>
        <w:tabs>
          <w:tab w:val="num" w:pos="720"/>
        </w:tabs>
        <w:ind w:left="720" w:hanging="360"/>
      </w:pPr>
    </w:lvl>
    <w:lvl w:ilvl="1" w:tplc="092C3B0E">
      <w:start w:val="1"/>
      <w:numFmt w:val="lowerLetter"/>
      <w:lvlText w:val="%2."/>
      <w:lvlJc w:val="left"/>
      <w:pPr>
        <w:tabs>
          <w:tab w:val="num" w:pos="1440"/>
        </w:tabs>
        <w:ind w:left="1440" w:hanging="360"/>
      </w:pPr>
    </w:lvl>
    <w:lvl w:ilvl="2" w:tplc="FBC2F6F8" w:tentative="1">
      <w:start w:val="1"/>
      <w:numFmt w:val="decimal"/>
      <w:lvlText w:val="%3."/>
      <w:lvlJc w:val="left"/>
      <w:pPr>
        <w:tabs>
          <w:tab w:val="num" w:pos="2160"/>
        </w:tabs>
        <w:ind w:left="2160" w:hanging="360"/>
      </w:pPr>
    </w:lvl>
    <w:lvl w:ilvl="3" w:tplc="521A121E" w:tentative="1">
      <w:start w:val="1"/>
      <w:numFmt w:val="decimal"/>
      <w:lvlText w:val="%4."/>
      <w:lvlJc w:val="left"/>
      <w:pPr>
        <w:tabs>
          <w:tab w:val="num" w:pos="2880"/>
        </w:tabs>
        <w:ind w:left="2880" w:hanging="360"/>
      </w:pPr>
    </w:lvl>
    <w:lvl w:ilvl="4" w:tplc="6A827310" w:tentative="1">
      <w:start w:val="1"/>
      <w:numFmt w:val="decimal"/>
      <w:lvlText w:val="%5."/>
      <w:lvlJc w:val="left"/>
      <w:pPr>
        <w:tabs>
          <w:tab w:val="num" w:pos="3600"/>
        </w:tabs>
        <w:ind w:left="3600" w:hanging="360"/>
      </w:pPr>
    </w:lvl>
    <w:lvl w:ilvl="5" w:tplc="9B62A1D8" w:tentative="1">
      <w:start w:val="1"/>
      <w:numFmt w:val="decimal"/>
      <w:lvlText w:val="%6."/>
      <w:lvlJc w:val="left"/>
      <w:pPr>
        <w:tabs>
          <w:tab w:val="num" w:pos="4320"/>
        </w:tabs>
        <w:ind w:left="4320" w:hanging="360"/>
      </w:pPr>
    </w:lvl>
    <w:lvl w:ilvl="6" w:tplc="613CCA5A" w:tentative="1">
      <w:start w:val="1"/>
      <w:numFmt w:val="decimal"/>
      <w:lvlText w:val="%7."/>
      <w:lvlJc w:val="left"/>
      <w:pPr>
        <w:tabs>
          <w:tab w:val="num" w:pos="5040"/>
        </w:tabs>
        <w:ind w:left="5040" w:hanging="360"/>
      </w:pPr>
    </w:lvl>
    <w:lvl w:ilvl="7" w:tplc="9B2445CC" w:tentative="1">
      <w:start w:val="1"/>
      <w:numFmt w:val="decimal"/>
      <w:lvlText w:val="%8."/>
      <w:lvlJc w:val="left"/>
      <w:pPr>
        <w:tabs>
          <w:tab w:val="num" w:pos="5760"/>
        </w:tabs>
        <w:ind w:left="5760" w:hanging="360"/>
      </w:pPr>
    </w:lvl>
    <w:lvl w:ilvl="8" w:tplc="362474A6" w:tentative="1">
      <w:start w:val="1"/>
      <w:numFmt w:val="decimal"/>
      <w:lvlText w:val="%9."/>
      <w:lvlJc w:val="left"/>
      <w:pPr>
        <w:tabs>
          <w:tab w:val="num" w:pos="6480"/>
        </w:tabs>
        <w:ind w:left="6480" w:hanging="360"/>
      </w:pPr>
    </w:lvl>
  </w:abstractNum>
  <w:num w:numId="1" w16cid:durableId="3908071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D73"/>
    <w:rsid w:val="000154B5"/>
    <w:rsid w:val="00022B14"/>
    <w:rsid w:val="000436AA"/>
    <w:rsid w:val="0009414C"/>
    <w:rsid w:val="000A41EC"/>
    <w:rsid w:val="000B48D5"/>
    <w:rsid w:val="000E2E16"/>
    <w:rsid w:val="0014461F"/>
    <w:rsid w:val="001979AE"/>
    <w:rsid w:val="001C6A69"/>
    <w:rsid w:val="00240BD8"/>
    <w:rsid w:val="00254B8A"/>
    <w:rsid w:val="0029305C"/>
    <w:rsid w:val="002948C9"/>
    <w:rsid w:val="00294B3F"/>
    <w:rsid w:val="002C4EF0"/>
    <w:rsid w:val="002D4B57"/>
    <w:rsid w:val="00367771"/>
    <w:rsid w:val="00380BCF"/>
    <w:rsid w:val="003A7C94"/>
    <w:rsid w:val="003C402A"/>
    <w:rsid w:val="00424FC7"/>
    <w:rsid w:val="00493BF5"/>
    <w:rsid w:val="0049696F"/>
    <w:rsid w:val="004C024F"/>
    <w:rsid w:val="005103B8"/>
    <w:rsid w:val="00516BE5"/>
    <w:rsid w:val="00532098"/>
    <w:rsid w:val="00594BDF"/>
    <w:rsid w:val="005B69A6"/>
    <w:rsid w:val="005C5A05"/>
    <w:rsid w:val="005D63CE"/>
    <w:rsid w:val="006A6590"/>
    <w:rsid w:val="006B2646"/>
    <w:rsid w:val="006B452D"/>
    <w:rsid w:val="006C0CA5"/>
    <w:rsid w:val="007A7D73"/>
    <w:rsid w:val="007B1049"/>
    <w:rsid w:val="007B784D"/>
    <w:rsid w:val="007D6BFB"/>
    <w:rsid w:val="00842EB0"/>
    <w:rsid w:val="00852916"/>
    <w:rsid w:val="00895EF1"/>
    <w:rsid w:val="008A4BC0"/>
    <w:rsid w:val="00952A32"/>
    <w:rsid w:val="00991B6D"/>
    <w:rsid w:val="009A3065"/>
    <w:rsid w:val="009E23D1"/>
    <w:rsid w:val="009E68C1"/>
    <w:rsid w:val="00A55B18"/>
    <w:rsid w:val="00AA4D1B"/>
    <w:rsid w:val="00AB0052"/>
    <w:rsid w:val="00B237ED"/>
    <w:rsid w:val="00B52981"/>
    <w:rsid w:val="00B75A7C"/>
    <w:rsid w:val="00B8797F"/>
    <w:rsid w:val="00CC3CB8"/>
    <w:rsid w:val="00D81F2B"/>
    <w:rsid w:val="00D91AA0"/>
    <w:rsid w:val="00DA2463"/>
    <w:rsid w:val="00DD0EDB"/>
    <w:rsid w:val="00DE6B55"/>
    <w:rsid w:val="00E21FE1"/>
    <w:rsid w:val="00E94C1C"/>
    <w:rsid w:val="00EC18F3"/>
    <w:rsid w:val="00F5732B"/>
    <w:rsid w:val="00F84F95"/>
    <w:rsid w:val="00F94F4B"/>
    <w:rsid w:val="00FB14DE"/>
    <w:rsid w:val="00FE1606"/>
    <w:rsid w:val="06509F32"/>
    <w:rsid w:val="0CE92E1A"/>
    <w:rsid w:val="0EEE3247"/>
    <w:rsid w:val="0F308A31"/>
    <w:rsid w:val="11FDC8EC"/>
    <w:rsid w:val="171D938F"/>
    <w:rsid w:val="178CBB2D"/>
    <w:rsid w:val="18D8387E"/>
    <w:rsid w:val="1AF373E9"/>
    <w:rsid w:val="1AFACCD6"/>
    <w:rsid w:val="1C14CEB5"/>
    <w:rsid w:val="20406161"/>
    <w:rsid w:val="21B7D36B"/>
    <w:rsid w:val="26A326AD"/>
    <w:rsid w:val="3068F9E4"/>
    <w:rsid w:val="30796B82"/>
    <w:rsid w:val="3180C6BD"/>
    <w:rsid w:val="321D344B"/>
    <w:rsid w:val="34584C09"/>
    <w:rsid w:val="386D67F6"/>
    <w:rsid w:val="40557DAB"/>
    <w:rsid w:val="466EB12C"/>
    <w:rsid w:val="49E6B99E"/>
    <w:rsid w:val="4ED59290"/>
    <w:rsid w:val="52964A1B"/>
    <w:rsid w:val="57703286"/>
    <w:rsid w:val="57B57D8F"/>
    <w:rsid w:val="58EBE896"/>
    <w:rsid w:val="5D593674"/>
    <w:rsid w:val="5D5F81F1"/>
    <w:rsid w:val="60E9A11B"/>
    <w:rsid w:val="62561F20"/>
    <w:rsid w:val="6505F508"/>
    <w:rsid w:val="65D7C174"/>
    <w:rsid w:val="680CE499"/>
    <w:rsid w:val="68A95340"/>
    <w:rsid w:val="72B4B23A"/>
    <w:rsid w:val="74436A47"/>
    <w:rsid w:val="7568D5D9"/>
    <w:rsid w:val="7C1FA5B1"/>
    <w:rsid w:val="7DFBF4A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46AB7"/>
  <w15:chartTrackingRefBased/>
  <w15:docId w15:val="{4231D696-6B99-4B33-88EE-6E4DFE5D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7D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7D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7D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7D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7D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7D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7D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7D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7D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D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7D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7D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7D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7D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7D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7D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7D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7D73"/>
    <w:rPr>
      <w:rFonts w:eastAsiaTheme="majorEastAsia" w:cstheme="majorBidi"/>
      <w:color w:val="272727" w:themeColor="text1" w:themeTint="D8"/>
    </w:rPr>
  </w:style>
  <w:style w:type="paragraph" w:styleId="Title">
    <w:name w:val="Title"/>
    <w:basedOn w:val="Normal"/>
    <w:next w:val="Normal"/>
    <w:link w:val="TitleChar"/>
    <w:uiPriority w:val="10"/>
    <w:qFormat/>
    <w:rsid w:val="007A7D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7D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7D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7D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7D73"/>
    <w:pPr>
      <w:spacing w:before="160"/>
      <w:jc w:val="center"/>
    </w:pPr>
    <w:rPr>
      <w:i/>
      <w:iCs/>
      <w:color w:val="404040" w:themeColor="text1" w:themeTint="BF"/>
    </w:rPr>
  </w:style>
  <w:style w:type="character" w:customStyle="1" w:styleId="QuoteChar">
    <w:name w:val="Quote Char"/>
    <w:basedOn w:val="DefaultParagraphFont"/>
    <w:link w:val="Quote"/>
    <w:uiPriority w:val="29"/>
    <w:rsid w:val="007A7D73"/>
    <w:rPr>
      <w:i/>
      <w:iCs/>
      <w:color w:val="404040" w:themeColor="text1" w:themeTint="BF"/>
    </w:rPr>
  </w:style>
  <w:style w:type="paragraph" w:styleId="ListParagraph">
    <w:name w:val="List Paragraph"/>
    <w:basedOn w:val="Normal"/>
    <w:uiPriority w:val="34"/>
    <w:qFormat/>
    <w:rsid w:val="007A7D73"/>
    <w:pPr>
      <w:ind w:left="720"/>
      <w:contextualSpacing/>
    </w:pPr>
  </w:style>
  <w:style w:type="character" w:styleId="IntenseEmphasis">
    <w:name w:val="Intense Emphasis"/>
    <w:basedOn w:val="DefaultParagraphFont"/>
    <w:uiPriority w:val="21"/>
    <w:qFormat/>
    <w:rsid w:val="007A7D73"/>
    <w:rPr>
      <w:i/>
      <w:iCs/>
      <w:color w:val="0F4761" w:themeColor="accent1" w:themeShade="BF"/>
    </w:rPr>
  </w:style>
  <w:style w:type="paragraph" w:styleId="IntenseQuote">
    <w:name w:val="Intense Quote"/>
    <w:basedOn w:val="Normal"/>
    <w:next w:val="Normal"/>
    <w:link w:val="IntenseQuoteChar"/>
    <w:uiPriority w:val="30"/>
    <w:qFormat/>
    <w:rsid w:val="007A7D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7D73"/>
    <w:rPr>
      <w:i/>
      <w:iCs/>
      <w:color w:val="0F4761" w:themeColor="accent1" w:themeShade="BF"/>
    </w:rPr>
  </w:style>
  <w:style w:type="character" w:styleId="IntenseReference">
    <w:name w:val="Intense Reference"/>
    <w:basedOn w:val="DefaultParagraphFont"/>
    <w:uiPriority w:val="32"/>
    <w:qFormat/>
    <w:rsid w:val="007A7D73"/>
    <w:rPr>
      <w:b/>
      <w:bCs/>
      <w:smallCaps/>
      <w:color w:val="0F4761" w:themeColor="accent1" w:themeShade="BF"/>
      <w:spacing w:val="5"/>
    </w:rPr>
  </w:style>
  <w:style w:type="paragraph" w:customStyle="1" w:styleId="Body">
    <w:name w:val="Body"/>
    <w:basedOn w:val="Normal"/>
    <w:link w:val="BodyChar"/>
    <w:qFormat/>
    <w:rsid w:val="007A7D73"/>
    <w:pPr>
      <w:spacing w:before="100" w:after="100" w:line="360" w:lineRule="auto"/>
    </w:pPr>
    <w:rPr>
      <w:rFonts w:eastAsia="Times New Roman" w:cs="Times New Roman"/>
      <w:kern w:val="0"/>
      <w:szCs w:val="24"/>
    </w:rPr>
  </w:style>
  <w:style w:type="character" w:customStyle="1" w:styleId="BodyChar">
    <w:name w:val="Body Char"/>
    <w:basedOn w:val="DefaultParagraphFont"/>
    <w:link w:val="Body"/>
    <w:rsid w:val="007A7D73"/>
    <w:rPr>
      <w:rFonts w:eastAsia="Times New Roman" w:cs="Times New Roman"/>
      <w:kern w:val="0"/>
      <w:szCs w:val="24"/>
    </w:rPr>
  </w:style>
  <w:style w:type="character" w:styleId="CommentReference">
    <w:name w:val="annotation reference"/>
    <w:basedOn w:val="DefaultParagraphFont"/>
    <w:uiPriority w:val="99"/>
    <w:semiHidden/>
    <w:unhideWhenUsed/>
    <w:rsid w:val="00DA2463"/>
    <w:rPr>
      <w:sz w:val="16"/>
      <w:szCs w:val="16"/>
    </w:rPr>
  </w:style>
  <w:style w:type="paragraph" w:styleId="CommentText">
    <w:name w:val="annotation text"/>
    <w:basedOn w:val="Normal"/>
    <w:link w:val="CommentTextChar"/>
    <w:uiPriority w:val="99"/>
    <w:unhideWhenUsed/>
    <w:rsid w:val="00DA2463"/>
    <w:pPr>
      <w:spacing w:line="240" w:lineRule="auto"/>
    </w:pPr>
    <w:rPr>
      <w:sz w:val="20"/>
      <w:szCs w:val="20"/>
    </w:rPr>
  </w:style>
  <w:style w:type="character" w:customStyle="1" w:styleId="CommentTextChar">
    <w:name w:val="Comment Text Char"/>
    <w:basedOn w:val="DefaultParagraphFont"/>
    <w:link w:val="CommentText"/>
    <w:uiPriority w:val="99"/>
    <w:rsid w:val="00DA2463"/>
    <w:rPr>
      <w:sz w:val="20"/>
      <w:szCs w:val="20"/>
    </w:rPr>
  </w:style>
  <w:style w:type="paragraph" w:styleId="CommentSubject">
    <w:name w:val="annotation subject"/>
    <w:basedOn w:val="CommentText"/>
    <w:next w:val="CommentText"/>
    <w:link w:val="CommentSubjectChar"/>
    <w:uiPriority w:val="99"/>
    <w:semiHidden/>
    <w:unhideWhenUsed/>
    <w:rsid w:val="00DA2463"/>
    <w:rPr>
      <w:b/>
      <w:bCs/>
    </w:rPr>
  </w:style>
  <w:style w:type="character" w:customStyle="1" w:styleId="CommentSubjectChar">
    <w:name w:val="Comment Subject Char"/>
    <w:basedOn w:val="CommentTextChar"/>
    <w:link w:val="CommentSubject"/>
    <w:uiPriority w:val="99"/>
    <w:semiHidden/>
    <w:rsid w:val="00DA2463"/>
    <w:rPr>
      <w:b/>
      <w:bCs/>
      <w:sz w:val="20"/>
      <w:szCs w:val="20"/>
    </w:rPr>
  </w:style>
  <w:style w:type="character" w:styleId="Hyperlink">
    <w:name w:val="Hyperlink"/>
    <w:basedOn w:val="DefaultParagraphFont"/>
    <w:uiPriority w:val="99"/>
    <w:unhideWhenUsed/>
    <w:rsid w:val="000B48D5"/>
    <w:rPr>
      <w:color w:val="467886" w:themeColor="hyperlink"/>
      <w:u w:val="single"/>
    </w:rPr>
  </w:style>
  <w:style w:type="character" w:styleId="UnresolvedMention">
    <w:name w:val="Unresolved Mention"/>
    <w:basedOn w:val="DefaultParagraphFont"/>
    <w:uiPriority w:val="99"/>
    <w:semiHidden/>
    <w:unhideWhenUsed/>
    <w:rsid w:val="000B48D5"/>
    <w:rPr>
      <w:color w:val="605E5C"/>
      <w:shd w:val="clear" w:color="auto" w:fill="E1DFDD"/>
    </w:rPr>
  </w:style>
  <w:style w:type="table" w:styleId="TableGrid">
    <w:name w:val="Table Grid"/>
    <w:basedOn w:val="TableNormal"/>
    <w:uiPriority w:val="39"/>
    <w:rsid w:val="005B69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1C6A69"/>
    <w:pPr>
      <w:spacing w:after="0" w:line="240" w:lineRule="auto"/>
    </w:pPr>
  </w:style>
  <w:style w:type="paragraph" w:customStyle="1" w:styleId="paragraph">
    <w:name w:val="paragraph"/>
    <w:basedOn w:val="Normal"/>
    <w:rsid w:val="0085291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852916"/>
  </w:style>
  <w:style w:type="character" w:customStyle="1" w:styleId="eop">
    <w:name w:val="eop"/>
    <w:basedOn w:val="DefaultParagraphFont"/>
    <w:rsid w:val="00852916"/>
  </w:style>
  <w:style w:type="character" w:customStyle="1" w:styleId="wacimagecontainer">
    <w:name w:val="wacimagecontainer"/>
    <w:basedOn w:val="DefaultParagraphFont"/>
    <w:rsid w:val="00852916"/>
  </w:style>
  <w:style w:type="character" w:styleId="Mention">
    <w:name w:val="Mention"/>
    <w:basedOn w:val="DefaultParagraphFont"/>
    <w:uiPriority w:val="99"/>
    <w:unhideWhenUsed/>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0760770">
      <w:bodyDiv w:val="1"/>
      <w:marLeft w:val="0"/>
      <w:marRight w:val="0"/>
      <w:marTop w:val="0"/>
      <w:marBottom w:val="0"/>
      <w:divBdr>
        <w:top w:val="none" w:sz="0" w:space="0" w:color="auto"/>
        <w:left w:val="none" w:sz="0" w:space="0" w:color="auto"/>
        <w:bottom w:val="none" w:sz="0" w:space="0" w:color="auto"/>
        <w:right w:val="none" w:sz="0" w:space="0" w:color="auto"/>
      </w:divBdr>
      <w:divsChild>
        <w:div w:id="546527647">
          <w:marLeft w:val="0"/>
          <w:marRight w:val="0"/>
          <w:marTop w:val="0"/>
          <w:marBottom w:val="0"/>
          <w:divBdr>
            <w:top w:val="none" w:sz="0" w:space="0" w:color="auto"/>
            <w:left w:val="none" w:sz="0" w:space="0" w:color="auto"/>
            <w:bottom w:val="none" w:sz="0" w:space="0" w:color="auto"/>
            <w:right w:val="none" w:sz="0" w:space="0" w:color="auto"/>
          </w:divBdr>
        </w:div>
        <w:div w:id="12821468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20/10/relationships/intelligence" Target="intelligence2.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D5ED8771846F4B8C678D05395D854C" ma:contentTypeVersion="17" ma:contentTypeDescription="Create a new document." ma:contentTypeScope="" ma:versionID="2cb96ee89867b57a04e861196db2d7af">
  <xsd:schema xmlns:xsd="http://www.w3.org/2001/XMLSchema" xmlns:xs="http://www.w3.org/2001/XMLSchema" xmlns:p="http://schemas.microsoft.com/office/2006/metadata/properties" xmlns:ns2="0178ed03-43c3-4247-8e55-06e4c6831de3" xmlns:ns3="0328a7b7-2a1f-420d-bb38-353347134b3e" targetNamespace="http://schemas.microsoft.com/office/2006/metadata/properties" ma:root="true" ma:fieldsID="46276bf3c298c3ed6d30f09c9737edce" ns2:_="" ns3:_="">
    <xsd:import namespace="0178ed03-43c3-4247-8e55-06e4c6831de3"/>
    <xsd:import namespace="0328a7b7-2a1f-420d-bb38-353347134b3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78ed03-43c3-4247-8e55-06e4c6831de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6654925c-3bd7-4187-ab31-e932ed5cd6bf"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ternalName="MediaServiceDateTake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328a7b7-2a1f-420d-bb38-353347134b3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650ea598-bfe8-45f2-a952-4a4e1d2a7b8c}" ma:internalName="TaxCatchAll" ma:showField="CatchAllData" ma:web="0328a7b7-2a1f-420d-bb38-353347134b3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328a7b7-2a1f-420d-bb38-353347134b3e" xsi:nil="true"/>
    <lcf76f155ced4ddcb4097134ff3c332f xmlns="0178ed03-43c3-4247-8e55-06e4c6831de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1B08D83-F377-4A13-BBB1-DBE35D044D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78ed03-43c3-4247-8e55-06e4c6831de3"/>
    <ds:schemaRef ds:uri="0328a7b7-2a1f-420d-bb38-353347134b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392D9A7-5C45-4944-8F40-D71A5F1DF2AB}">
  <ds:schemaRefs>
    <ds:schemaRef ds:uri="http://schemas.microsoft.com/sharepoint/v3/contenttype/forms"/>
  </ds:schemaRefs>
</ds:datastoreItem>
</file>

<file path=customXml/itemProps3.xml><?xml version="1.0" encoding="utf-8"?>
<ds:datastoreItem xmlns:ds="http://schemas.openxmlformats.org/officeDocument/2006/customXml" ds:itemID="{C872D41F-DA80-46F2-801E-87812220CAD1}">
  <ds:schemaRefs>
    <ds:schemaRef ds:uri="http://schemas.microsoft.com/office/2006/metadata/properties"/>
    <ds:schemaRef ds:uri="http://schemas.microsoft.com/office/infopath/2007/PartnerControls"/>
    <ds:schemaRef ds:uri="0328a7b7-2a1f-420d-bb38-353347134b3e"/>
    <ds:schemaRef ds:uri="0178ed03-43c3-4247-8e55-06e4c6831de3"/>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1657</Words>
  <Characters>9447</Characters>
  <Application>Microsoft Office Word</Application>
  <DocSecurity>0</DocSecurity>
  <Lines>78</Lines>
  <Paragraphs>22</Paragraphs>
  <ScaleCrop>false</ScaleCrop>
  <Company>Abt Associates, inc.</Company>
  <LinksUpToDate>false</LinksUpToDate>
  <CharactersWithSpaces>11082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Tiffany Harris</dc:creator>
  <cp:keywords/>
  <dc:description/>
  <cp:lastModifiedBy>Matt Malachowski</cp:lastModifiedBy>
  <cp:revision>20</cp:revision>
  <dcterms:created xsi:type="dcterms:W3CDTF">2024-02-27T14:42:00Z</dcterms:created>
  <dcterms:modified xsi:type="dcterms:W3CDTF">2024-02-28T20:24:00Z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0x01010070D5ED8771846F4B8C678D05395D854C</vt:lpwstr>
  </property>
  <property fmtid="{D5CDD505-2E9C-101B-9397-08002B2CF9AE}" pid="3" name="MediaServiceImageTags">
    <vt:lpwstr/>
  </property>
</Properties>
</file>