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b/>
          <w:color w:val="1A3B6E"/>
          <w:sz w:val="36"/>
          <w:rFonts w:cs="Arial" w:ascii="Arial" w:hAnsi="Arial"/>
        </w:rPr>
        <w:t>پیش‌بینی درماندگی مالی شرکت‌های پذیرفته‌شده در بورس اوراق بهادار تهران با یادگیری ماشین قابل‌توضیح: مقایسهٔ XGBoost، جنگل تصادفی و رگرسیون لجستیک</w:t>
      </w:r>
    </w:p>
    <w:p>
      <w:pPr>
        <w:jc w:val="right"/>
        <w:bidi/>
      </w:pPr>
      <w:r>
        <w:rPr>
          <w:b w:val="0"/>
          <w:color w:val="888888"/>
          <w:sz w:val="18"/>
          <w:rFonts w:cs="Arial" w:ascii="Arial" w:hAnsi="Arial"/>
        </w:rPr>
        <w:t>پیش‌نویس مقاله (تولید خودکار از نتایج پایپ‌لاین Stage121). جای‌گذاری نام نویسندگان، وابستگی سازمانی و منابع تکمیلی بر عهدهٔ نویسنده است.</w:t>
      </w:r>
    </w:p>
    <w:p>
      <w:pPr>
        <w:jc w:val="right"/>
        <w:bidi/>
      </w:pPr>
      <w:r>
        <w:rPr>
          <w:b/>
          <w:color w:val="1A3B6E"/>
          <w:sz w:val="28"/>
          <w:rFonts w:cs="Arial" w:ascii="Arial" w:hAnsi="Arial"/>
        </w:rPr>
        <w:t>چکیده</w:t>
      </w:r>
    </w:p>
    <w:p>
      <w:pPr>
        <w:jc w:val="right"/>
        <w:bidi/>
      </w:pPr>
      <w:r>
        <w:rPr>
          <w:b w:val="0"/>
          <w:sz w:val="22"/>
          <w:rFonts w:cs="Arial" w:ascii="Arial" w:hAnsi="Arial"/>
        </w:rPr>
        <w:t>درماندگی مالی شرکت‌ها پیامدهای پرهزینه‌ای برای سرمایه‌گذاران، اعتباردهندگان و نهادهای نظارتی دارد و پیش‌بینی زودهنگام آن اهمیت بالایی یافته است. در این پژوهش، یک سامانهٔ پیش‌بینی «یک سال جلوتر» برای درماندگی مالی شرکت‌های بورس تهران طراحی و سه الگوریتم رگرسیون لجستیک، جنگل تصادفی و XGBoost روی مجموعهٔ ویژگی یکسان به‌طور منصفانه مقایسه شدند. داده‌ها شامل 983 مشاهدهٔ شرکت‌ـ‌سال (با نرخ درماندگی حدود 3.8٪) است. برای جلوگیری از نشت اطلاعات، تقسیم زمانیِ رو‌به‌جلو، اعتبارسنجی پنجرهٔ گسترش‌یابنده و انجام تمام پیش‌پردازش‌ها صرفاً روی دادهٔ آموزش هر fold به‌کار رفت. عدم‌توازن شدید کلاس با یادگیری هزینه‌-حساس مدیریت و معیار اصلی ارزیابی، سطح زیر منحنی دقت-فراخوانی (PR-AUC) قرار گرفت. بر پایهٔ نتایج، مدل XGBoost با PR-AUC برابر 0.63، فراخوانی 0.78 و دقت متوازن 0.87 روی مجموعهٔ آزمونِ دست‌نخورده بهترین عملکرد را داشت. تحلیل توضیح‌پذیری مبتنی بر SHAP نشان داد نسبت اهرمی، اندازهٔ شرکت و حاشیهٔ سود خالص مهم‌ترین عوامل پیش‌بینی‌اند. یافته‌ها بر برتری مدل‌های درختی تقویتی و ضرورت گزارش معیارهای حساس به عدم‌توازن به‌جای صحت کلی تأکید می‌کنند.</w:t>
      </w:r>
    </w:p>
    <w:p>
      <w:pPr>
        <w:jc w:val="right"/>
        <w:bidi/>
      </w:pPr>
      <w:r>
        <w:rPr>
          <w:b/>
          <w:sz w:val="20"/>
          <w:rFonts w:cs="Arial" w:ascii="Arial" w:hAnsi="Arial"/>
        </w:rPr>
        <w:t>واژگان کلیدی: درماندگی مالی، یادگیری ماشین قابل‌توضیح، XGBoost، عدم‌توازن کلاس، SHAP، بورس اوراق بهادار تهران.</w:t>
      </w:r>
    </w:p>
    <w:p>
      <w:pPr>
        <w:jc w:val="right"/>
        <w:bidi/>
      </w:pPr>
      <w:r>
        <w:rPr>
          <w:b/>
          <w:color w:val="1A3B6E"/>
          <w:sz w:val="28"/>
          <w:rFonts w:cs="Arial" w:ascii="Arial" w:hAnsi="Arial"/>
        </w:rPr>
        <w:t>۱. مقدمه</w:t>
      </w:r>
    </w:p>
    <w:p>
      <w:pPr>
        <w:jc w:val="right"/>
        <w:bidi/>
      </w:pPr>
      <w:r>
        <w:rPr>
          <w:b w:val="0"/>
          <w:sz w:val="22"/>
          <w:rFonts w:cs="Arial" w:ascii="Arial" w:hAnsi="Arial"/>
        </w:rPr>
        <w:t>درماندگی مالی وضعیتی است که در آن شرکت توان ایفای تعهدات مالی خود را از دست می‌دهد و می‌تواند به ورشکستگی بینجامد. پیش‌بینی به‌موقع این پدیده برای تخصیص بهینهٔ سرمایه، مدیریت ریسک اعتباری و سیاست‌گذاری نظارتی حیاتی است. مدل‌های کلاسیک مانند تحلیل تشخیصی و رگرسیون لجستیک سال‌ها مبنای کار بوده‌اند، اما با رشد روش‌های یادگیری ماشین، مدل‌های غیرخطی و گروهی توانسته‌اند روابط پیچیدهٔ میان نسبت‌های مالی را بهتر بازنمایی کنند. با این حال، دو چالش اساسی باقی است: نخست، خطر نشت اطلاعات و ارزیابی خوش‌بینانه در صورت رعایت‌نشدن ساختار زمانی و پنلی داده؛ دوم، عدم‌توازن شدید کلاس که گزارش معیارهایی مانند صحت کلی را گمراه‌کننده می‌سازد.</w:t>
      </w:r>
    </w:p>
    <w:p>
      <w:pPr>
        <w:jc w:val="right"/>
        <w:bidi/>
      </w:pPr>
      <w:r>
        <w:rPr>
          <w:b w:val="0"/>
          <w:sz w:val="22"/>
          <w:rFonts w:cs="Arial" w:ascii="Arial" w:hAnsi="Arial"/>
        </w:rPr>
        <w:t>این پژوهش با تمرکز بر شرکت‌های بورس تهران، سه هدف را دنبال می‌کند: (۱) طراحی یک فرایند کاملاً بازتولیدپذیر و مقاوم در برابر نشت برای پیش‌بینی یک‌سال‌جلوی درماندگی؛ (۲) مقایسهٔ منصفانهٔ رگرسیون لجستیک، جنگل تصادفی و XGBoost روی مجموعهٔ ویژگی و تقسیم یکسان؛ و (۳) ارائهٔ توضیح‌پذیری در سطح سراسری و موردی با SHAP و ضرایب مدل خطی.</w:t>
      </w:r>
    </w:p>
    <w:p>
      <w:pPr>
        <w:jc w:val="right"/>
        <w:bidi/>
      </w:pPr>
      <w:r>
        <w:rPr>
          <w:b/>
          <w:color w:val="1A3B6E"/>
          <w:sz w:val="28"/>
          <w:rFonts w:cs="Arial" w:ascii="Arial" w:hAnsi="Arial"/>
        </w:rPr>
        <w:t>۲. پیشینهٔ پژوهش</w:t>
      </w:r>
    </w:p>
    <w:p>
      <w:pPr>
        <w:jc w:val="right"/>
        <w:bidi/>
      </w:pPr>
      <w:r>
        <w:rPr>
          <w:b w:val="0"/>
          <w:sz w:val="22"/>
          <w:rFonts w:cs="Arial" w:ascii="Arial" w:hAnsi="Arial"/>
        </w:rPr>
        <w:t>نقطهٔ آغاز ادبیات پیش‌بینی درماندگی، مدل امتیاز Z آلتمن (۱۹۶۸) و سپس مدل لجستیک اولسون (۱۹۸۰) است که نسبت‌های مالی را به احتمال ورشکستگی پیوند زدند. با ظهور یادگیری ماشین، روش‌های گروهی مانند جنگل تصادفی (بریمن، ۲۰۰۱) و درخت‌های تقویتی گرادیانی به‌ویژه XGBoost (چن و گوئسترین، ۲۰۱۶) به‌دلیل توان مدل‌سازی غیرخطی و مقاومت در برابر بیش‌برازش مورد توجه قرار گرفتند. هم‌زمان، نیاز به توضیح‌پذیری مدل‌های پیچیده به توسعهٔ روش‌های مبتنی بر مقادیر شَپلی، به‌ویژه SHAP (لاندبرگ و لی، ۲۰۱۷)، انجامید که امکان تفسیر سهم هر ویژگی را در سطح فردی و سراسری فراهم می‌کند. پژوهش حاضر این خطوط را با تأکید بر کنترل نشت زمانی و گزارش معیارهای حساس به عدم‌توازن تلفیق می‌کند.</w:t>
      </w:r>
    </w:p>
    <w:p>
      <w:pPr>
        <w:jc w:val="right"/>
        <w:bidi/>
      </w:pPr>
      <w:r>
        <w:rPr>
          <w:b/>
          <w:color w:val="1A3B6E"/>
          <w:sz w:val="28"/>
          <w:rFonts w:cs="Arial" w:ascii="Arial" w:hAnsi="Arial"/>
        </w:rPr>
        <w:t>۳. روش‌شناسی</w:t>
      </w:r>
    </w:p>
    <w:p>
      <w:pPr>
        <w:jc w:val="right"/>
        <w:bidi/>
      </w:pPr>
      <w:r>
        <w:rPr>
          <w:b/>
          <w:color w:val="1A3B6E"/>
          <w:sz w:val="24"/>
          <w:rFonts w:cs="Arial" w:ascii="Arial" w:hAnsi="Arial"/>
        </w:rPr>
        <w:t>۳-۱. داده و متغیر هدف</w:t>
      </w:r>
    </w:p>
    <w:p>
      <w:pPr>
        <w:jc w:val="right"/>
        <w:bidi/>
      </w:pPr>
      <w:r>
        <w:rPr>
          <w:b w:val="0"/>
          <w:sz w:val="22"/>
          <w:rFonts w:cs="Arial" w:ascii="Arial" w:hAnsi="Arial"/>
        </w:rPr>
        <w:t>واحد مشاهده شرکت‌ـ‌سال است و متغیر هدف، برچسب بازبینی‌شدهٔ درماندگی (۱=درمانده، ۰=غیردرمانده) بدون هیچ تغییری به‌کار رفت. برای آنکه مدل حقیقتاً «پیش‌بینی» باشد، با اطلاعات سال t درماندگی سال t+1 هدف‌گذاری شد. پس از این انتقال، مجموعهٔ نهایی 983 مشاهده با 37 نمونهٔ مثبت (3.76٪) به‌دست آمد؛ تنها ردیف‌های حذف‌شده، مشاهداتِ سال پایانی فاقد هدفِ سال بعد بودند.</w:t>
      </w:r>
    </w:p>
    <w:p>
      <w:pPr>
        <w:jc w:val="right"/>
        <w:bidi/>
      </w:pPr>
      <w:r>
        <w:rPr>
          <w:b/>
          <w:color w:val="333333"/>
          <w:sz w:val="20"/>
          <w:rFonts w:cs="Arial" w:ascii="Arial" w:hAnsi="Arial"/>
        </w:rPr>
        <w:t>جدول ۱: مجموعهٔ ویژگی اصلی (Feature Set A)</w:t>
      </w:r>
    </w:p>
    <w:tbl>
      <w:tblPr>
        <w:tblStyle w:val="LightGrid-Accent1"/>
        <w:tblW w:type="auto" w:w="0"/>
        <w:jc w:val="right"/>
        <w:tblLook w:firstColumn="1" w:firstRow="1" w:lastColumn="0" w:lastRow="0" w:noHBand="0" w:noVBand="1" w:val="04A0"/>
        <w:bidiVisual/>
      </w:tblPr>
      <w:tblGrid>
        <w:gridCol w:w="8640"/>
      </w:tblGrid>
      <w:tr>
        <w:tc>
          <w:tcPr>
            <w:tcW w:type="dxa" w:w="8640"/>
          </w:tcPr>
          <w:p>
            <w:pPr>
              <w:jc w:val="right"/>
              <w:bidi/>
            </w:pPr>
            <w:r>
              <w:rPr>
                <w:b/>
                <w:sz w:val="18"/>
                <w:rFonts w:cs="Arial" w:ascii="Arial" w:hAnsi="Arial"/>
              </w:rPr>
              <w:t>ویژگی (مدل اصلی)</w:t>
            </w:r>
          </w:p>
        </w:tc>
      </w:tr>
      <w:tr>
        <w:tc>
          <w:tcPr>
            <w:tcW w:type="dxa" w:w="8640"/>
          </w:tcPr>
          <w:p>
            <w:pPr>
              <w:jc w:val="right"/>
              <w:bidi/>
            </w:pPr>
            <w:r>
              <w:rPr>
                <w:sz w:val="18"/>
                <w:rFonts w:cs="Arial" w:ascii="Arial" w:hAnsi="Arial"/>
              </w:rPr>
              <w:t>leverage_ratio</w:t>
            </w:r>
          </w:p>
        </w:tc>
      </w:tr>
      <w:tr>
        <w:tc>
          <w:tcPr>
            <w:tcW w:type="dxa" w:w="8640"/>
          </w:tcPr>
          <w:p>
            <w:pPr>
              <w:jc w:val="right"/>
              <w:bidi/>
            </w:pPr>
            <w:r>
              <w:rPr>
                <w:sz w:val="18"/>
                <w:rFonts w:cs="Arial" w:ascii="Arial" w:hAnsi="Arial"/>
              </w:rPr>
              <w:t>current_ratio</w:t>
            </w:r>
          </w:p>
        </w:tc>
      </w:tr>
      <w:tr>
        <w:tc>
          <w:tcPr>
            <w:tcW w:type="dxa" w:w="8640"/>
          </w:tcPr>
          <w:p>
            <w:pPr>
              <w:jc w:val="right"/>
              <w:bidi/>
            </w:pPr>
            <w:r>
              <w:rPr>
                <w:sz w:val="18"/>
                <w:rFonts w:cs="Arial" w:ascii="Arial" w:hAnsi="Arial"/>
              </w:rPr>
              <w:t>roa_period_adjusted</w:t>
            </w:r>
          </w:p>
        </w:tc>
      </w:tr>
      <w:tr>
        <w:tc>
          <w:tcPr>
            <w:tcW w:type="dxa" w:w="8640"/>
          </w:tcPr>
          <w:p>
            <w:pPr>
              <w:jc w:val="right"/>
              <w:bidi/>
            </w:pPr>
            <w:r>
              <w:rPr>
                <w:sz w:val="18"/>
                <w:rFonts w:cs="Arial" w:ascii="Arial" w:hAnsi="Arial"/>
              </w:rPr>
              <w:t>ocf_to_assets_period_adjusted</w:t>
            </w:r>
          </w:p>
        </w:tc>
      </w:tr>
      <w:tr>
        <w:tc>
          <w:tcPr>
            <w:tcW w:type="dxa" w:w="8640"/>
          </w:tcPr>
          <w:p>
            <w:pPr>
              <w:jc w:val="right"/>
              <w:bidi/>
            </w:pPr>
            <w:r>
              <w:rPr>
                <w:sz w:val="18"/>
                <w:rFonts w:cs="Arial" w:ascii="Arial" w:hAnsi="Arial"/>
              </w:rPr>
              <w:t>financial_expense_to_assets_period_adjusted</w:t>
            </w:r>
          </w:p>
        </w:tc>
      </w:tr>
      <w:tr>
        <w:tc>
          <w:tcPr>
            <w:tcW w:type="dxa" w:w="8640"/>
          </w:tcPr>
          <w:p>
            <w:pPr>
              <w:jc w:val="right"/>
              <w:bidi/>
            </w:pPr>
            <w:r>
              <w:rPr>
                <w:sz w:val="18"/>
                <w:rFonts w:cs="Arial" w:ascii="Arial" w:hAnsi="Arial"/>
              </w:rPr>
              <w:t>operating_margin_period_adjusted</w:t>
            </w:r>
          </w:p>
        </w:tc>
      </w:tr>
      <w:tr>
        <w:tc>
          <w:tcPr>
            <w:tcW w:type="dxa" w:w="8640"/>
          </w:tcPr>
          <w:p>
            <w:pPr>
              <w:jc w:val="right"/>
              <w:bidi/>
            </w:pPr>
            <w:r>
              <w:rPr>
                <w:sz w:val="18"/>
                <w:rFonts w:cs="Arial" w:ascii="Arial" w:hAnsi="Arial"/>
              </w:rPr>
              <w:t>net_margin_period_adjusted</w:t>
            </w:r>
          </w:p>
        </w:tc>
      </w:tr>
      <w:tr>
        <w:tc>
          <w:tcPr>
            <w:tcW w:type="dxa" w:w="8640"/>
          </w:tcPr>
          <w:p>
            <w:pPr>
              <w:jc w:val="right"/>
              <w:bidi/>
            </w:pPr>
            <w:r>
              <w:rPr>
                <w:sz w:val="18"/>
                <w:rFonts w:cs="Arial" w:ascii="Arial" w:hAnsi="Arial"/>
              </w:rPr>
              <w:t>asset_turnover_period_adjusted</w:t>
            </w:r>
          </w:p>
        </w:tc>
      </w:tr>
      <w:tr>
        <w:tc>
          <w:tcPr>
            <w:tcW w:type="dxa" w:w="8640"/>
          </w:tcPr>
          <w:p>
            <w:pPr>
              <w:jc w:val="right"/>
              <w:bidi/>
            </w:pPr>
            <w:r>
              <w:rPr>
                <w:sz w:val="18"/>
                <w:rFonts w:cs="Arial" w:ascii="Arial" w:hAnsi="Arial"/>
              </w:rPr>
              <w:t>revenue_growth_period_adjusted</w:t>
            </w:r>
          </w:p>
        </w:tc>
      </w:tr>
      <w:tr>
        <w:tc>
          <w:tcPr>
            <w:tcW w:type="dxa" w:w="8640"/>
          </w:tcPr>
          <w:p>
            <w:pPr>
              <w:jc w:val="right"/>
              <w:bidi/>
            </w:pPr>
            <w:r>
              <w:rPr>
                <w:sz w:val="18"/>
                <w:rFonts w:cs="Arial" w:ascii="Arial" w:hAnsi="Arial"/>
              </w:rPr>
              <w:t>net_income_growth_period_adjusted</w:t>
            </w:r>
          </w:p>
        </w:tc>
      </w:tr>
      <w:tr>
        <w:tc>
          <w:tcPr>
            <w:tcW w:type="dxa" w:w="8640"/>
          </w:tcPr>
          <w:p>
            <w:pPr>
              <w:jc w:val="right"/>
              <w:bidi/>
            </w:pPr>
            <w:r>
              <w:rPr>
                <w:sz w:val="18"/>
                <w:rFonts w:cs="Arial" w:ascii="Arial" w:hAnsi="Arial"/>
              </w:rPr>
              <w:t>log_total_assets</w:t>
            </w:r>
          </w:p>
        </w:tc>
      </w:tr>
      <w:tr>
        <w:tc>
          <w:tcPr>
            <w:tcW w:type="dxa" w:w="8640"/>
          </w:tcPr>
          <w:p>
            <w:pPr>
              <w:jc w:val="right"/>
              <w:bidi/>
            </w:pPr>
            <w:r>
              <w:rPr>
                <w:sz w:val="18"/>
                <w:rFonts w:cs="Arial" w:ascii="Arial" w:hAnsi="Arial"/>
              </w:rPr>
              <w:t>industry</w:t>
            </w:r>
          </w:p>
        </w:tc>
      </w:tr>
    </w:tbl>
    <w:p/>
    <w:p>
      <w:pPr>
        <w:jc w:val="right"/>
        <w:bidi/>
      </w:pPr>
      <w:r>
        <w:rPr>
          <w:b/>
          <w:color w:val="1A3B6E"/>
          <w:sz w:val="24"/>
          <w:rFonts w:cs="Arial" w:ascii="Arial" w:hAnsi="Arial"/>
        </w:rPr>
        <w:t>۳-۲. تقسیم زمانی و کنترل نشت</w:t>
      </w:r>
    </w:p>
    <w:p>
      <w:pPr>
        <w:jc w:val="right"/>
        <w:bidi/>
      </w:pPr>
      <w:r>
        <w:rPr>
          <w:b w:val="0"/>
          <w:sz w:val="22"/>
          <w:rFonts w:cs="Arial" w:ascii="Arial" w:hAnsi="Arial"/>
        </w:rPr>
        <w:t>چون رویدادهای درماندگی در سال‌های میانی بازه متمرکز بودند، تقسیم رو‌به‌جلو به‌صورت مجموعهٔ توسعه (300 مشاهده، 27 مثبت) و مجموعهٔ آزمونِ دست‌نخورده (200 مشاهده، 9 مثبت) انجام شد و تنظیم ابرپارامترها با اعتبارسنجی پنجرهٔ گسترش‌یابنده صورت گرفت. هیچ عملیات جای‌گذاری، مقیاس‌بندی، winsorization، بیش‌نمونه‌گیری یا انتخاب آستانه پیش از تقسیم یا روی کل داده انجام نشد؛ همهٔ این مراحل درون pipeline و فقط روی دادهٔ آموزش هر fold اجرا شدند.</w:t>
      </w:r>
    </w:p>
    <w:p>
      <w:pPr>
        <w:jc w:val="right"/>
        <w:bidi/>
      </w:pPr>
      <w:r>
        <w:rPr>
          <w:b/>
          <w:color w:val="1A3B6E"/>
          <w:sz w:val="24"/>
          <w:rFonts w:cs="Arial" w:ascii="Arial" w:hAnsi="Arial"/>
        </w:rPr>
        <w:t>۳-۳. پیش‌پردازش، عدم‌توازن و مدل‌ها</w:t>
      </w:r>
    </w:p>
    <w:p>
      <w:pPr>
        <w:jc w:val="right"/>
        <w:bidi/>
      </w:pPr>
      <w:r>
        <w:rPr>
          <w:b w:val="0"/>
          <w:sz w:val="22"/>
          <w:rFonts w:cs="Arial" w:ascii="Arial" w:hAnsi="Arial"/>
        </w:rPr>
        <w:t>جای‌گذاری میانه به‌همراه شاخص مفقودی برای متغیرهای عددی، RobustScaler برای رگرسیون لجستیک و کدگذاری One-Hot برای صنعت (با دستهٔ «نامشخص» برای مقادیر مفقود) به‌کار رفت. عدم‌توازن با یادگیری هزینه‌-حساس مدیریت شد: class_weight متوازن برای رگرسیون لجستیک و جنگل تصادفی، و scale_pos_weight برابر نسبت کلاس منفی به مثبت برای XGBoost. ابرپارامترها با Optuna و معیار میانگین PR-AUC اعتبارسنجی تنظیم شدند و آستانهٔ تصمیم تنها روی اعتبارسنجی (با بیشینه‌سازی F1) انتخاب شد.</w:t>
      </w:r>
    </w:p>
    <w:p>
      <w:pPr>
        <w:jc w:val="right"/>
        <w:bidi/>
      </w:pPr>
      <w:r>
        <w:rPr>
          <w:b/>
          <w:color w:val="1A3B6E"/>
          <w:sz w:val="28"/>
          <w:rFonts w:cs="Arial" w:ascii="Arial" w:hAnsi="Arial"/>
        </w:rPr>
        <w:t>۴. یافته‌ها</w:t>
      </w:r>
    </w:p>
    <w:p>
      <w:pPr>
        <w:jc w:val="right"/>
        <w:bidi/>
      </w:pPr>
      <w:r>
        <w:rPr>
          <w:b/>
          <w:color w:val="333333"/>
          <w:sz w:val="20"/>
          <w:rFonts w:cs="Arial" w:ascii="Arial" w:hAnsi="Arial"/>
        </w:rPr>
        <w:t>جدول ۲: معیارهای اعتبارسنجی پنجرهٔ گسترش‌یابنده به تفکیک fold</w:t>
      </w:r>
    </w:p>
    <w:tbl>
      <w:tblPr>
        <w:tblStyle w:val="LightGrid-Accent1"/>
        <w:tblW w:type="auto" w:w="0"/>
        <w:jc w:val="right"/>
        <w:tblLook w:firstColumn="1" w:firstRow="1" w:lastColumn="0" w:lastRow="0" w:noHBand="0" w:noVBand="1" w:val="04A0"/>
        <w:bidiVisual/>
      </w:tblPr>
      <w:tblGrid>
        <w:gridCol w:w="1728"/>
        <w:gridCol w:w="1728"/>
        <w:gridCol w:w="1728"/>
        <w:gridCol w:w="1728"/>
        <w:gridCol w:w="1728"/>
      </w:tblGrid>
      <w:tr>
        <w:tc>
          <w:tcPr>
            <w:tcW w:type="dxa" w:w="1728"/>
          </w:tcPr>
          <w:p>
            <w:pPr>
              <w:jc w:val="right"/>
              <w:bidi/>
            </w:pPr>
            <w:r>
              <w:rPr>
                <w:b/>
                <w:sz w:val="18"/>
                <w:rFonts w:cs="Arial" w:ascii="Arial" w:hAnsi="Arial"/>
              </w:rPr>
              <w:t>model</w:t>
            </w:r>
          </w:p>
        </w:tc>
        <w:tc>
          <w:tcPr>
            <w:tcW w:type="dxa" w:w="1728"/>
          </w:tcPr>
          <w:p>
            <w:pPr>
              <w:jc w:val="right"/>
              <w:bidi/>
            </w:pPr>
            <w:r>
              <w:rPr>
                <w:b/>
                <w:sz w:val="18"/>
                <w:rFonts w:cs="Arial" w:ascii="Arial" w:hAnsi="Arial"/>
              </w:rPr>
              <w:t>fold</w:t>
            </w:r>
          </w:p>
        </w:tc>
        <w:tc>
          <w:tcPr>
            <w:tcW w:type="dxa" w:w="1728"/>
          </w:tcPr>
          <w:p>
            <w:pPr>
              <w:jc w:val="right"/>
              <w:bidi/>
            </w:pPr>
            <w:r>
              <w:rPr>
                <w:b/>
                <w:sz w:val="18"/>
                <w:rFonts w:cs="Arial" w:ascii="Arial" w:hAnsi="Arial"/>
              </w:rPr>
              <w:t>pos_val</w:t>
            </w:r>
          </w:p>
        </w:tc>
        <w:tc>
          <w:tcPr>
            <w:tcW w:type="dxa" w:w="1728"/>
          </w:tcPr>
          <w:p>
            <w:pPr>
              <w:jc w:val="right"/>
              <w:bidi/>
            </w:pPr>
            <w:r>
              <w:rPr>
                <w:b/>
                <w:sz w:val="18"/>
                <w:rFonts w:cs="Arial" w:ascii="Arial" w:hAnsi="Arial"/>
              </w:rPr>
              <w:t>pr_auc</w:t>
            </w:r>
          </w:p>
        </w:tc>
        <w:tc>
          <w:tcPr>
            <w:tcW w:type="dxa" w:w="1728"/>
          </w:tcPr>
          <w:p>
            <w:pPr>
              <w:jc w:val="right"/>
              <w:bidi/>
            </w:pPr>
            <w:r>
              <w:rPr>
                <w:b/>
                <w:sz w:val="18"/>
                <w:rFonts w:cs="Arial" w:ascii="Arial" w:hAnsi="Arial"/>
              </w:rPr>
              <w:t>roc_auc</w:t>
            </w:r>
          </w:p>
        </w:tc>
      </w:tr>
      <w:tr>
        <w:tc>
          <w:tcPr>
            <w:tcW w:type="dxa" w:w="1728"/>
          </w:tcPr>
          <w:p>
            <w:pPr>
              <w:jc w:val="right"/>
              <w:bidi/>
            </w:pPr>
            <w:r>
              <w:rPr>
                <w:sz w:val="18"/>
                <w:rFonts w:cs="Arial" w:ascii="Arial" w:hAnsi="Arial"/>
              </w:rPr>
              <w:t>رگرسیون لجستیک</w:t>
            </w:r>
          </w:p>
        </w:tc>
        <w:tc>
          <w:tcPr>
            <w:tcW w:type="dxa" w:w="1728"/>
          </w:tcPr>
          <w:p>
            <w:pPr>
              <w:jc w:val="right"/>
              <w:bidi/>
            </w:pPr>
            <w:r>
              <w:rPr>
                <w:sz w:val="18"/>
                <w:rFonts w:cs="Arial" w:ascii="Arial" w:hAnsi="Arial"/>
              </w:rPr>
              <w:t>1</w:t>
            </w:r>
          </w:p>
        </w:tc>
        <w:tc>
          <w:tcPr>
            <w:tcW w:type="dxa" w:w="1728"/>
          </w:tcPr>
          <w:p>
            <w:pPr>
              <w:jc w:val="right"/>
              <w:bidi/>
            </w:pPr>
            <w:r>
              <w:rPr>
                <w:sz w:val="18"/>
                <w:rFonts w:cs="Arial" w:ascii="Arial" w:hAnsi="Arial"/>
              </w:rPr>
              <w:t>5</w:t>
            </w:r>
          </w:p>
        </w:tc>
        <w:tc>
          <w:tcPr>
            <w:tcW w:type="dxa" w:w="1728"/>
          </w:tcPr>
          <w:p>
            <w:pPr>
              <w:jc w:val="right"/>
              <w:bidi/>
            </w:pPr>
            <w:r>
              <w:rPr>
                <w:sz w:val="18"/>
                <w:rFonts w:cs="Arial" w:ascii="Arial" w:hAnsi="Arial"/>
              </w:rPr>
              <w:t>0.154</w:t>
            </w:r>
          </w:p>
        </w:tc>
        <w:tc>
          <w:tcPr>
            <w:tcW w:type="dxa" w:w="1728"/>
          </w:tcPr>
          <w:p>
            <w:pPr>
              <w:jc w:val="right"/>
              <w:bidi/>
            </w:pPr>
            <w:r>
              <w:rPr>
                <w:sz w:val="18"/>
                <w:rFonts w:cs="Arial" w:ascii="Arial" w:hAnsi="Arial"/>
              </w:rPr>
              <w:t>0.63</w:t>
            </w:r>
          </w:p>
        </w:tc>
      </w:tr>
      <w:tr>
        <w:tc>
          <w:tcPr>
            <w:tcW w:type="dxa" w:w="1728"/>
          </w:tcPr>
          <w:p>
            <w:pPr>
              <w:jc w:val="right"/>
              <w:bidi/>
            </w:pPr>
            <w:r>
              <w:rPr>
                <w:sz w:val="18"/>
                <w:rFonts w:cs="Arial" w:ascii="Arial" w:hAnsi="Arial"/>
              </w:rPr>
              <w:t>رگرسیون لجستیک</w:t>
            </w:r>
          </w:p>
        </w:tc>
        <w:tc>
          <w:tcPr>
            <w:tcW w:type="dxa" w:w="1728"/>
          </w:tcPr>
          <w:p>
            <w:pPr>
              <w:jc w:val="right"/>
              <w:bidi/>
            </w:pPr>
            <w:r>
              <w:rPr>
                <w:sz w:val="18"/>
                <w:rFonts w:cs="Arial" w:ascii="Arial" w:hAnsi="Arial"/>
              </w:rPr>
              <w:t>2</w:t>
            </w:r>
          </w:p>
        </w:tc>
        <w:tc>
          <w:tcPr>
            <w:tcW w:type="dxa" w:w="1728"/>
          </w:tcPr>
          <w:p>
            <w:pPr>
              <w:jc w:val="right"/>
              <w:bidi/>
            </w:pPr>
            <w:r>
              <w:rPr>
                <w:sz w:val="18"/>
                <w:rFonts w:cs="Arial" w:ascii="Arial" w:hAnsi="Arial"/>
              </w:rPr>
              <w:t>6</w:t>
            </w:r>
          </w:p>
        </w:tc>
        <w:tc>
          <w:tcPr>
            <w:tcW w:type="dxa" w:w="1728"/>
          </w:tcPr>
          <w:p>
            <w:pPr>
              <w:jc w:val="right"/>
              <w:bidi/>
            </w:pPr>
            <w:r>
              <w:rPr>
                <w:sz w:val="18"/>
                <w:rFonts w:cs="Arial" w:ascii="Arial" w:hAnsi="Arial"/>
              </w:rPr>
              <w:t>0.484</w:t>
            </w:r>
          </w:p>
        </w:tc>
        <w:tc>
          <w:tcPr>
            <w:tcW w:type="dxa" w:w="1728"/>
          </w:tcPr>
          <w:p>
            <w:pPr>
              <w:jc w:val="right"/>
              <w:bidi/>
            </w:pPr>
            <w:r>
              <w:rPr>
                <w:sz w:val="18"/>
                <w:rFonts w:cs="Arial" w:ascii="Arial" w:hAnsi="Arial"/>
              </w:rPr>
              <w:t>0.821</w:t>
            </w:r>
          </w:p>
        </w:tc>
      </w:tr>
      <w:tr>
        <w:tc>
          <w:tcPr>
            <w:tcW w:type="dxa" w:w="1728"/>
          </w:tcPr>
          <w:p>
            <w:pPr>
              <w:jc w:val="right"/>
              <w:bidi/>
            </w:pPr>
            <w:r>
              <w:rPr>
                <w:sz w:val="18"/>
                <w:rFonts w:cs="Arial" w:ascii="Arial" w:hAnsi="Arial"/>
              </w:rPr>
              <w:t>رگرسیون لجستیک</w:t>
            </w:r>
          </w:p>
        </w:tc>
        <w:tc>
          <w:tcPr>
            <w:tcW w:type="dxa" w:w="1728"/>
          </w:tcPr>
          <w:p>
            <w:pPr>
              <w:jc w:val="right"/>
              <w:bidi/>
            </w:pPr>
            <w:r>
              <w:rPr>
                <w:sz w:val="18"/>
                <w:rFonts w:cs="Arial" w:ascii="Arial" w:hAnsi="Arial"/>
              </w:rPr>
              <w:t>3</w:t>
            </w:r>
          </w:p>
        </w:tc>
        <w:tc>
          <w:tcPr>
            <w:tcW w:type="dxa" w:w="1728"/>
          </w:tcPr>
          <w:p>
            <w:pPr>
              <w:jc w:val="right"/>
              <w:bidi/>
            </w:pPr>
            <w:r>
              <w:rPr>
                <w:sz w:val="18"/>
                <w:rFonts w:cs="Arial" w:ascii="Arial" w:hAnsi="Arial"/>
              </w:rPr>
              <w:t>10</w:t>
            </w:r>
          </w:p>
        </w:tc>
        <w:tc>
          <w:tcPr>
            <w:tcW w:type="dxa" w:w="1728"/>
          </w:tcPr>
          <w:p>
            <w:pPr>
              <w:jc w:val="right"/>
              <w:bidi/>
            </w:pPr>
            <w:r>
              <w:rPr>
                <w:sz w:val="18"/>
                <w:rFonts w:cs="Arial" w:ascii="Arial" w:hAnsi="Arial"/>
              </w:rPr>
              <w:t>0.524</w:t>
            </w:r>
          </w:p>
        </w:tc>
        <w:tc>
          <w:tcPr>
            <w:tcW w:type="dxa" w:w="1728"/>
          </w:tcPr>
          <w:p>
            <w:pPr>
              <w:jc w:val="right"/>
              <w:bidi/>
            </w:pPr>
            <w:r>
              <w:rPr>
                <w:sz w:val="18"/>
                <w:rFonts w:cs="Arial" w:ascii="Arial" w:hAnsi="Arial"/>
              </w:rPr>
              <w:t>0.822</w:t>
            </w:r>
          </w:p>
        </w:tc>
      </w:tr>
      <w:tr>
        <w:tc>
          <w:tcPr>
            <w:tcW w:type="dxa" w:w="1728"/>
          </w:tcPr>
          <w:p>
            <w:pPr>
              <w:jc w:val="right"/>
              <w:bidi/>
            </w:pPr>
            <w:r>
              <w:rPr>
                <w:sz w:val="18"/>
                <w:rFonts w:cs="Arial" w:ascii="Arial" w:hAnsi="Arial"/>
              </w:rPr>
              <w:t>جنگل تصادفی</w:t>
            </w:r>
          </w:p>
        </w:tc>
        <w:tc>
          <w:tcPr>
            <w:tcW w:type="dxa" w:w="1728"/>
          </w:tcPr>
          <w:p>
            <w:pPr>
              <w:jc w:val="right"/>
              <w:bidi/>
            </w:pPr>
            <w:r>
              <w:rPr>
                <w:sz w:val="18"/>
                <w:rFonts w:cs="Arial" w:ascii="Arial" w:hAnsi="Arial"/>
              </w:rPr>
              <w:t>1</w:t>
            </w:r>
          </w:p>
        </w:tc>
        <w:tc>
          <w:tcPr>
            <w:tcW w:type="dxa" w:w="1728"/>
          </w:tcPr>
          <w:p>
            <w:pPr>
              <w:jc w:val="right"/>
              <w:bidi/>
            </w:pPr>
            <w:r>
              <w:rPr>
                <w:sz w:val="18"/>
                <w:rFonts w:cs="Arial" w:ascii="Arial" w:hAnsi="Arial"/>
              </w:rPr>
              <w:t>5</w:t>
            </w:r>
          </w:p>
        </w:tc>
        <w:tc>
          <w:tcPr>
            <w:tcW w:type="dxa" w:w="1728"/>
          </w:tcPr>
          <w:p>
            <w:pPr>
              <w:jc w:val="right"/>
              <w:bidi/>
            </w:pPr>
            <w:r>
              <w:rPr>
                <w:sz w:val="18"/>
                <w:rFonts w:cs="Arial" w:ascii="Arial" w:hAnsi="Arial"/>
              </w:rPr>
              <w:t>0.105</w:t>
            </w:r>
          </w:p>
        </w:tc>
        <w:tc>
          <w:tcPr>
            <w:tcW w:type="dxa" w:w="1728"/>
          </w:tcPr>
          <w:p>
            <w:pPr>
              <w:jc w:val="right"/>
              <w:bidi/>
            </w:pPr>
            <w:r>
              <w:rPr>
                <w:sz w:val="18"/>
                <w:rFonts w:cs="Arial" w:ascii="Arial" w:hAnsi="Arial"/>
              </w:rPr>
              <w:t>0.633</w:t>
            </w:r>
          </w:p>
        </w:tc>
      </w:tr>
      <w:tr>
        <w:tc>
          <w:tcPr>
            <w:tcW w:type="dxa" w:w="1728"/>
          </w:tcPr>
          <w:p>
            <w:pPr>
              <w:jc w:val="right"/>
              <w:bidi/>
            </w:pPr>
            <w:r>
              <w:rPr>
                <w:sz w:val="18"/>
                <w:rFonts w:cs="Arial" w:ascii="Arial" w:hAnsi="Arial"/>
              </w:rPr>
              <w:t>جنگل تصادفی</w:t>
            </w:r>
          </w:p>
        </w:tc>
        <w:tc>
          <w:tcPr>
            <w:tcW w:type="dxa" w:w="1728"/>
          </w:tcPr>
          <w:p>
            <w:pPr>
              <w:jc w:val="right"/>
              <w:bidi/>
            </w:pPr>
            <w:r>
              <w:rPr>
                <w:sz w:val="18"/>
                <w:rFonts w:cs="Arial" w:ascii="Arial" w:hAnsi="Arial"/>
              </w:rPr>
              <w:t>2</w:t>
            </w:r>
          </w:p>
        </w:tc>
        <w:tc>
          <w:tcPr>
            <w:tcW w:type="dxa" w:w="1728"/>
          </w:tcPr>
          <w:p>
            <w:pPr>
              <w:jc w:val="right"/>
              <w:bidi/>
            </w:pPr>
            <w:r>
              <w:rPr>
                <w:sz w:val="18"/>
                <w:rFonts w:cs="Arial" w:ascii="Arial" w:hAnsi="Arial"/>
              </w:rPr>
              <w:t>6</w:t>
            </w:r>
          </w:p>
        </w:tc>
        <w:tc>
          <w:tcPr>
            <w:tcW w:type="dxa" w:w="1728"/>
          </w:tcPr>
          <w:p>
            <w:pPr>
              <w:jc w:val="right"/>
              <w:bidi/>
            </w:pPr>
            <w:r>
              <w:rPr>
                <w:sz w:val="18"/>
                <w:rFonts w:cs="Arial" w:ascii="Arial" w:hAnsi="Arial"/>
              </w:rPr>
              <w:t>0.603</w:t>
            </w:r>
          </w:p>
        </w:tc>
        <w:tc>
          <w:tcPr>
            <w:tcW w:type="dxa" w:w="1728"/>
          </w:tcPr>
          <w:p>
            <w:pPr>
              <w:jc w:val="right"/>
              <w:bidi/>
            </w:pPr>
            <w:r>
              <w:rPr>
                <w:sz w:val="18"/>
                <w:rFonts w:cs="Arial" w:ascii="Arial" w:hAnsi="Arial"/>
              </w:rPr>
              <w:t>0.818</w:t>
            </w:r>
          </w:p>
        </w:tc>
      </w:tr>
      <w:tr>
        <w:tc>
          <w:tcPr>
            <w:tcW w:type="dxa" w:w="1728"/>
          </w:tcPr>
          <w:p>
            <w:pPr>
              <w:jc w:val="right"/>
              <w:bidi/>
            </w:pPr>
            <w:r>
              <w:rPr>
                <w:sz w:val="18"/>
                <w:rFonts w:cs="Arial" w:ascii="Arial" w:hAnsi="Arial"/>
              </w:rPr>
              <w:t>جنگل تصادفی</w:t>
            </w:r>
          </w:p>
        </w:tc>
        <w:tc>
          <w:tcPr>
            <w:tcW w:type="dxa" w:w="1728"/>
          </w:tcPr>
          <w:p>
            <w:pPr>
              <w:jc w:val="right"/>
              <w:bidi/>
            </w:pPr>
            <w:r>
              <w:rPr>
                <w:sz w:val="18"/>
                <w:rFonts w:cs="Arial" w:ascii="Arial" w:hAnsi="Arial"/>
              </w:rPr>
              <w:t>3</w:t>
            </w:r>
          </w:p>
        </w:tc>
        <w:tc>
          <w:tcPr>
            <w:tcW w:type="dxa" w:w="1728"/>
          </w:tcPr>
          <w:p>
            <w:pPr>
              <w:jc w:val="right"/>
              <w:bidi/>
            </w:pPr>
            <w:r>
              <w:rPr>
                <w:sz w:val="18"/>
                <w:rFonts w:cs="Arial" w:ascii="Arial" w:hAnsi="Arial"/>
              </w:rPr>
              <w:t>10</w:t>
            </w:r>
          </w:p>
        </w:tc>
        <w:tc>
          <w:tcPr>
            <w:tcW w:type="dxa" w:w="1728"/>
          </w:tcPr>
          <w:p>
            <w:pPr>
              <w:jc w:val="right"/>
              <w:bidi/>
            </w:pPr>
            <w:r>
              <w:rPr>
                <w:sz w:val="18"/>
                <w:rFonts w:cs="Arial" w:ascii="Arial" w:hAnsi="Arial"/>
              </w:rPr>
              <w:t>0.7</w:t>
            </w:r>
          </w:p>
        </w:tc>
        <w:tc>
          <w:tcPr>
            <w:tcW w:type="dxa" w:w="1728"/>
          </w:tcPr>
          <w:p>
            <w:pPr>
              <w:jc w:val="right"/>
              <w:bidi/>
            </w:pPr>
            <w:r>
              <w:rPr>
                <w:sz w:val="18"/>
                <w:rFonts w:cs="Arial" w:ascii="Arial" w:hAnsi="Arial"/>
              </w:rPr>
              <w:t>0.916</w:t>
            </w:r>
          </w:p>
        </w:tc>
      </w:tr>
      <w:tr>
        <w:tc>
          <w:tcPr>
            <w:tcW w:type="dxa" w:w="1728"/>
          </w:tcPr>
          <w:p>
            <w:pPr>
              <w:jc w:val="right"/>
              <w:bidi/>
            </w:pPr>
            <w:r>
              <w:rPr>
                <w:sz w:val="18"/>
                <w:rFonts w:cs="Arial" w:ascii="Arial" w:hAnsi="Arial"/>
              </w:rPr>
              <w:t>XGBoost</w:t>
            </w:r>
          </w:p>
        </w:tc>
        <w:tc>
          <w:tcPr>
            <w:tcW w:type="dxa" w:w="1728"/>
          </w:tcPr>
          <w:p>
            <w:pPr>
              <w:jc w:val="right"/>
              <w:bidi/>
            </w:pPr>
            <w:r>
              <w:rPr>
                <w:sz w:val="18"/>
                <w:rFonts w:cs="Arial" w:ascii="Arial" w:hAnsi="Arial"/>
              </w:rPr>
              <w:t>1</w:t>
            </w:r>
          </w:p>
        </w:tc>
        <w:tc>
          <w:tcPr>
            <w:tcW w:type="dxa" w:w="1728"/>
          </w:tcPr>
          <w:p>
            <w:pPr>
              <w:jc w:val="right"/>
              <w:bidi/>
            </w:pPr>
            <w:r>
              <w:rPr>
                <w:sz w:val="18"/>
                <w:rFonts w:cs="Arial" w:ascii="Arial" w:hAnsi="Arial"/>
              </w:rPr>
              <w:t>5</w:t>
            </w:r>
          </w:p>
        </w:tc>
        <w:tc>
          <w:tcPr>
            <w:tcW w:type="dxa" w:w="1728"/>
          </w:tcPr>
          <w:p>
            <w:pPr>
              <w:jc w:val="right"/>
              <w:bidi/>
            </w:pPr>
            <w:r>
              <w:rPr>
                <w:sz w:val="18"/>
                <w:rFonts w:cs="Arial" w:ascii="Arial" w:hAnsi="Arial"/>
              </w:rPr>
              <w:t>0.274</w:t>
            </w:r>
          </w:p>
        </w:tc>
        <w:tc>
          <w:tcPr>
            <w:tcW w:type="dxa" w:w="1728"/>
          </w:tcPr>
          <w:p>
            <w:pPr>
              <w:jc w:val="right"/>
              <w:bidi/>
            </w:pPr>
            <w:r>
              <w:rPr>
                <w:sz w:val="18"/>
                <w:rFonts w:cs="Arial" w:ascii="Arial" w:hAnsi="Arial"/>
              </w:rPr>
              <w:t>0.777</w:t>
            </w:r>
          </w:p>
        </w:tc>
      </w:tr>
      <w:tr>
        <w:tc>
          <w:tcPr>
            <w:tcW w:type="dxa" w:w="1728"/>
          </w:tcPr>
          <w:p>
            <w:pPr>
              <w:jc w:val="right"/>
              <w:bidi/>
            </w:pPr>
            <w:r>
              <w:rPr>
                <w:sz w:val="18"/>
                <w:rFonts w:cs="Arial" w:ascii="Arial" w:hAnsi="Arial"/>
              </w:rPr>
              <w:t>XGBoost</w:t>
            </w:r>
          </w:p>
        </w:tc>
        <w:tc>
          <w:tcPr>
            <w:tcW w:type="dxa" w:w="1728"/>
          </w:tcPr>
          <w:p>
            <w:pPr>
              <w:jc w:val="right"/>
              <w:bidi/>
            </w:pPr>
            <w:r>
              <w:rPr>
                <w:sz w:val="18"/>
                <w:rFonts w:cs="Arial" w:ascii="Arial" w:hAnsi="Arial"/>
              </w:rPr>
              <w:t>2</w:t>
            </w:r>
          </w:p>
        </w:tc>
        <w:tc>
          <w:tcPr>
            <w:tcW w:type="dxa" w:w="1728"/>
          </w:tcPr>
          <w:p>
            <w:pPr>
              <w:jc w:val="right"/>
              <w:bidi/>
            </w:pPr>
            <w:r>
              <w:rPr>
                <w:sz w:val="18"/>
                <w:rFonts w:cs="Arial" w:ascii="Arial" w:hAnsi="Arial"/>
              </w:rPr>
              <w:t>6</w:t>
            </w:r>
          </w:p>
        </w:tc>
        <w:tc>
          <w:tcPr>
            <w:tcW w:type="dxa" w:w="1728"/>
          </w:tcPr>
          <w:p>
            <w:pPr>
              <w:jc w:val="right"/>
              <w:bidi/>
            </w:pPr>
            <w:r>
              <w:rPr>
                <w:sz w:val="18"/>
                <w:rFonts w:cs="Arial" w:ascii="Arial" w:hAnsi="Arial"/>
              </w:rPr>
              <w:t>0.71</w:t>
            </w:r>
          </w:p>
        </w:tc>
        <w:tc>
          <w:tcPr>
            <w:tcW w:type="dxa" w:w="1728"/>
          </w:tcPr>
          <w:p>
            <w:pPr>
              <w:jc w:val="right"/>
              <w:bidi/>
            </w:pPr>
            <w:r>
              <w:rPr>
                <w:sz w:val="18"/>
                <w:rFonts w:cs="Arial" w:ascii="Arial" w:hAnsi="Arial"/>
              </w:rPr>
              <w:t>0.829</w:t>
            </w:r>
          </w:p>
        </w:tc>
      </w:tr>
      <w:tr>
        <w:tc>
          <w:tcPr>
            <w:tcW w:type="dxa" w:w="1728"/>
          </w:tcPr>
          <w:p>
            <w:pPr>
              <w:jc w:val="right"/>
              <w:bidi/>
            </w:pPr>
            <w:r>
              <w:rPr>
                <w:sz w:val="18"/>
                <w:rFonts w:cs="Arial" w:ascii="Arial" w:hAnsi="Arial"/>
              </w:rPr>
              <w:t>XGBoost</w:t>
            </w:r>
          </w:p>
        </w:tc>
        <w:tc>
          <w:tcPr>
            <w:tcW w:type="dxa" w:w="1728"/>
          </w:tcPr>
          <w:p>
            <w:pPr>
              <w:jc w:val="right"/>
              <w:bidi/>
            </w:pPr>
            <w:r>
              <w:rPr>
                <w:sz w:val="18"/>
                <w:rFonts w:cs="Arial" w:ascii="Arial" w:hAnsi="Arial"/>
              </w:rPr>
              <w:t>3</w:t>
            </w:r>
          </w:p>
        </w:tc>
        <w:tc>
          <w:tcPr>
            <w:tcW w:type="dxa" w:w="1728"/>
          </w:tcPr>
          <w:p>
            <w:pPr>
              <w:jc w:val="right"/>
              <w:bidi/>
            </w:pPr>
            <w:r>
              <w:rPr>
                <w:sz w:val="18"/>
                <w:rFonts w:cs="Arial" w:ascii="Arial" w:hAnsi="Arial"/>
              </w:rPr>
              <w:t>10</w:t>
            </w:r>
          </w:p>
        </w:tc>
        <w:tc>
          <w:tcPr>
            <w:tcW w:type="dxa" w:w="1728"/>
          </w:tcPr>
          <w:p>
            <w:pPr>
              <w:jc w:val="right"/>
              <w:bidi/>
            </w:pPr>
            <w:r>
              <w:rPr>
                <w:sz w:val="18"/>
                <w:rFonts w:cs="Arial" w:ascii="Arial" w:hAnsi="Arial"/>
              </w:rPr>
              <w:t>0.79</w:t>
            </w:r>
          </w:p>
        </w:tc>
        <w:tc>
          <w:tcPr>
            <w:tcW w:type="dxa" w:w="1728"/>
          </w:tcPr>
          <w:p>
            <w:pPr>
              <w:jc w:val="right"/>
              <w:bidi/>
            </w:pPr>
            <w:r>
              <w:rPr>
                <w:sz w:val="18"/>
                <w:rFonts w:cs="Arial" w:ascii="Arial" w:hAnsi="Arial"/>
              </w:rPr>
              <w:t>0.922</w:t>
            </w:r>
          </w:p>
        </w:tc>
      </w:tr>
    </w:tbl>
    <w:p/>
    <w:p>
      <w:pPr>
        <w:jc w:val="right"/>
        <w:bidi/>
      </w:pPr>
      <w:r>
        <w:rPr>
          <w:b/>
          <w:color w:val="333333"/>
          <w:sz w:val="20"/>
          <w:rFonts w:cs="Arial" w:ascii="Arial" w:hAnsi="Arial"/>
        </w:rPr>
        <w:t>جدول ۳: معیارهای مجموعهٔ آزمون در آستانهٔ بهینه (معیار اصلی PR-AUC)</w:t>
      </w:r>
    </w:p>
    <w:tbl>
      <w:tblPr>
        <w:tblStyle w:val="LightGrid-Accent1"/>
        <w:tblW w:type="auto" w:w="0"/>
        <w:jc w:val="right"/>
        <w:tblLook w:firstColumn="1" w:firstRow="1" w:lastColumn="0" w:lastRow="0" w:noHBand="0" w:noVBand="1" w:val="04A0"/>
        <w:bidiVisual/>
      </w:tblPr>
      <w:tblGrid>
        <w:gridCol w:w="864"/>
        <w:gridCol w:w="864"/>
        <w:gridCol w:w="864"/>
        <w:gridCol w:w="864"/>
        <w:gridCol w:w="864"/>
        <w:gridCol w:w="864"/>
        <w:gridCol w:w="864"/>
        <w:gridCol w:w="864"/>
        <w:gridCol w:w="864"/>
        <w:gridCol w:w="864"/>
      </w:tblGrid>
      <w:tr>
        <w:tc>
          <w:tcPr>
            <w:tcW w:type="dxa" w:w="864"/>
          </w:tcPr>
          <w:p>
            <w:pPr>
              <w:jc w:val="right"/>
              <w:bidi/>
            </w:pPr>
            <w:r>
              <w:rPr>
                <w:b/>
                <w:sz w:val="18"/>
                <w:rFonts w:cs="Arial" w:ascii="Arial" w:hAnsi="Arial"/>
              </w:rPr>
              <w:t>model</w:t>
            </w:r>
          </w:p>
        </w:tc>
        <w:tc>
          <w:tcPr>
            <w:tcW w:type="dxa" w:w="864"/>
          </w:tcPr>
          <w:p>
            <w:pPr>
              <w:jc w:val="right"/>
              <w:bidi/>
            </w:pPr>
            <w:r>
              <w:rPr>
                <w:b/>
                <w:sz w:val="18"/>
                <w:rFonts w:cs="Arial" w:ascii="Arial" w:hAnsi="Arial"/>
              </w:rPr>
              <w:t>pr_auc</w:t>
            </w:r>
          </w:p>
        </w:tc>
        <w:tc>
          <w:tcPr>
            <w:tcW w:type="dxa" w:w="864"/>
          </w:tcPr>
          <w:p>
            <w:pPr>
              <w:jc w:val="right"/>
              <w:bidi/>
            </w:pPr>
            <w:r>
              <w:rPr>
                <w:b/>
                <w:sz w:val="18"/>
                <w:rFonts w:cs="Arial" w:ascii="Arial" w:hAnsi="Arial"/>
              </w:rPr>
              <w:t>roc_auc</w:t>
            </w:r>
          </w:p>
        </w:tc>
        <w:tc>
          <w:tcPr>
            <w:tcW w:type="dxa" w:w="864"/>
          </w:tcPr>
          <w:p>
            <w:pPr>
              <w:jc w:val="right"/>
              <w:bidi/>
            </w:pPr>
            <w:r>
              <w:rPr>
                <w:b/>
                <w:sz w:val="18"/>
                <w:rFonts w:cs="Arial" w:ascii="Arial" w:hAnsi="Arial"/>
              </w:rPr>
              <w:t>recall</w:t>
            </w:r>
          </w:p>
        </w:tc>
        <w:tc>
          <w:tcPr>
            <w:tcW w:type="dxa" w:w="864"/>
          </w:tcPr>
          <w:p>
            <w:pPr>
              <w:jc w:val="right"/>
              <w:bidi/>
            </w:pPr>
            <w:r>
              <w:rPr>
                <w:b/>
                <w:sz w:val="18"/>
                <w:rFonts w:cs="Arial" w:ascii="Arial" w:hAnsi="Arial"/>
              </w:rPr>
              <w:t>precision</w:t>
            </w:r>
          </w:p>
        </w:tc>
        <w:tc>
          <w:tcPr>
            <w:tcW w:type="dxa" w:w="864"/>
          </w:tcPr>
          <w:p>
            <w:pPr>
              <w:jc w:val="right"/>
              <w:bidi/>
            </w:pPr>
            <w:r>
              <w:rPr>
                <w:b/>
                <w:sz w:val="18"/>
                <w:rFonts w:cs="Arial" w:ascii="Arial" w:hAnsi="Arial"/>
              </w:rPr>
              <w:t>f1</w:t>
            </w:r>
          </w:p>
        </w:tc>
        <w:tc>
          <w:tcPr>
            <w:tcW w:type="dxa" w:w="864"/>
          </w:tcPr>
          <w:p>
            <w:pPr>
              <w:jc w:val="right"/>
              <w:bidi/>
            </w:pPr>
            <w:r>
              <w:rPr>
                <w:b/>
                <w:sz w:val="18"/>
                <w:rFonts w:cs="Arial" w:ascii="Arial" w:hAnsi="Arial"/>
              </w:rPr>
              <w:t>f2</w:t>
            </w:r>
          </w:p>
        </w:tc>
        <w:tc>
          <w:tcPr>
            <w:tcW w:type="dxa" w:w="864"/>
          </w:tcPr>
          <w:p>
            <w:pPr>
              <w:jc w:val="right"/>
              <w:bidi/>
            </w:pPr>
            <w:r>
              <w:rPr>
                <w:b/>
                <w:sz w:val="18"/>
                <w:rFonts w:cs="Arial" w:ascii="Arial" w:hAnsi="Arial"/>
              </w:rPr>
              <w:t>balanced_accuracy</w:t>
            </w:r>
          </w:p>
        </w:tc>
        <w:tc>
          <w:tcPr>
            <w:tcW w:type="dxa" w:w="864"/>
          </w:tcPr>
          <w:p>
            <w:pPr>
              <w:jc w:val="right"/>
              <w:bidi/>
            </w:pPr>
            <w:r>
              <w:rPr>
                <w:b/>
                <w:sz w:val="18"/>
                <w:rFonts w:cs="Arial" w:ascii="Arial" w:hAnsi="Arial"/>
              </w:rPr>
              <w:t>mcc</w:t>
            </w:r>
          </w:p>
        </w:tc>
        <w:tc>
          <w:tcPr>
            <w:tcW w:type="dxa" w:w="864"/>
          </w:tcPr>
          <w:p>
            <w:pPr>
              <w:jc w:val="right"/>
              <w:bidi/>
            </w:pPr>
            <w:r>
              <w:rPr>
                <w:b/>
                <w:sz w:val="18"/>
                <w:rFonts w:cs="Arial" w:ascii="Arial" w:hAnsi="Arial"/>
              </w:rPr>
              <w:t>brier</w:t>
            </w:r>
          </w:p>
        </w:tc>
      </w:tr>
      <w:tr>
        <w:tc>
          <w:tcPr>
            <w:tcW w:type="dxa" w:w="864"/>
          </w:tcPr>
          <w:p>
            <w:pPr>
              <w:jc w:val="right"/>
              <w:bidi/>
            </w:pPr>
            <w:r>
              <w:rPr>
                <w:sz w:val="18"/>
                <w:rFonts w:cs="Arial" w:ascii="Arial" w:hAnsi="Arial"/>
              </w:rPr>
              <w:t>رگرسیون لجستیک</w:t>
            </w:r>
          </w:p>
        </w:tc>
        <w:tc>
          <w:tcPr>
            <w:tcW w:type="dxa" w:w="864"/>
          </w:tcPr>
          <w:p>
            <w:pPr>
              <w:jc w:val="right"/>
              <w:bidi/>
            </w:pPr>
            <w:r>
              <w:rPr>
                <w:sz w:val="18"/>
                <w:rFonts w:cs="Arial" w:ascii="Arial" w:hAnsi="Arial"/>
              </w:rPr>
              <w:t>0.263</w:t>
            </w:r>
          </w:p>
        </w:tc>
        <w:tc>
          <w:tcPr>
            <w:tcW w:type="dxa" w:w="864"/>
          </w:tcPr>
          <w:p>
            <w:pPr>
              <w:jc w:val="right"/>
              <w:bidi/>
            </w:pPr>
            <w:r>
              <w:rPr>
                <w:sz w:val="18"/>
                <w:rFonts w:cs="Arial" w:ascii="Arial" w:hAnsi="Arial"/>
              </w:rPr>
              <w:t>0.777</w:t>
            </w:r>
          </w:p>
        </w:tc>
        <w:tc>
          <w:tcPr>
            <w:tcW w:type="dxa" w:w="864"/>
          </w:tcPr>
          <w:p>
            <w:pPr>
              <w:jc w:val="right"/>
              <w:bidi/>
            </w:pPr>
            <w:r>
              <w:rPr>
                <w:sz w:val="18"/>
                <w:rFonts w:cs="Arial" w:ascii="Arial" w:hAnsi="Arial"/>
              </w:rPr>
              <w:t>0.444</w:t>
            </w:r>
          </w:p>
        </w:tc>
        <w:tc>
          <w:tcPr>
            <w:tcW w:type="dxa" w:w="864"/>
          </w:tcPr>
          <w:p>
            <w:pPr>
              <w:jc w:val="right"/>
              <w:bidi/>
            </w:pPr>
            <w:r>
              <w:rPr>
                <w:sz w:val="18"/>
                <w:rFonts w:cs="Arial" w:ascii="Arial" w:hAnsi="Arial"/>
              </w:rPr>
              <w:t>0.267</w:t>
            </w:r>
          </w:p>
        </w:tc>
        <w:tc>
          <w:tcPr>
            <w:tcW w:type="dxa" w:w="864"/>
          </w:tcPr>
          <w:p>
            <w:pPr>
              <w:jc w:val="right"/>
              <w:bidi/>
            </w:pPr>
            <w:r>
              <w:rPr>
                <w:sz w:val="18"/>
                <w:rFonts w:cs="Arial" w:ascii="Arial" w:hAnsi="Arial"/>
              </w:rPr>
              <w:t>0.333</w:t>
            </w:r>
          </w:p>
        </w:tc>
        <w:tc>
          <w:tcPr>
            <w:tcW w:type="dxa" w:w="864"/>
          </w:tcPr>
          <w:p>
            <w:pPr>
              <w:jc w:val="right"/>
              <w:bidi/>
            </w:pPr>
            <w:r>
              <w:rPr>
                <w:sz w:val="18"/>
                <w:rFonts w:cs="Arial" w:ascii="Arial" w:hAnsi="Arial"/>
              </w:rPr>
              <w:t>0.392</w:t>
            </w:r>
          </w:p>
        </w:tc>
        <w:tc>
          <w:tcPr>
            <w:tcW w:type="dxa" w:w="864"/>
          </w:tcPr>
          <w:p>
            <w:pPr>
              <w:jc w:val="right"/>
              <w:bidi/>
            </w:pPr>
            <w:r>
              <w:rPr>
                <w:sz w:val="18"/>
                <w:rFonts w:cs="Arial" w:ascii="Arial" w:hAnsi="Arial"/>
              </w:rPr>
              <w:t>0.693</w:t>
            </w:r>
          </w:p>
        </w:tc>
        <w:tc>
          <w:tcPr>
            <w:tcW w:type="dxa" w:w="864"/>
          </w:tcPr>
          <w:p>
            <w:pPr>
              <w:jc w:val="right"/>
              <w:bidi/>
            </w:pPr>
            <w:r>
              <w:rPr>
                <w:sz w:val="18"/>
                <w:rFonts w:cs="Arial" w:ascii="Arial" w:hAnsi="Arial"/>
              </w:rPr>
              <w:t>0.304</w:t>
            </w:r>
          </w:p>
        </w:tc>
        <w:tc>
          <w:tcPr>
            <w:tcW w:type="dxa" w:w="864"/>
          </w:tcPr>
          <w:p>
            <w:pPr>
              <w:jc w:val="right"/>
              <w:bidi/>
            </w:pPr>
            <w:r>
              <w:rPr>
                <w:sz w:val="18"/>
                <w:rFonts w:cs="Arial" w:ascii="Arial" w:hAnsi="Arial"/>
              </w:rPr>
              <w:t>0.129</w:t>
            </w:r>
          </w:p>
        </w:tc>
      </w:tr>
      <w:tr>
        <w:tc>
          <w:tcPr>
            <w:tcW w:type="dxa" w:w="864"/>
          </w:tcPr>
          <w:p>
            <w:pPr>
              <w:jc w:val="right"/>
              <w:bidi/>
            </w:pPr>
            <w:r>
              <w:rPr>
                <w:sz w:val="18"/>
                <w:rFonts w:cs="Arial" w:ascii="Arial" w:hAnsi="Arial"/>
              </w:rPr>
              <w:t>جنگل تصادفی</w:t>
            </w:r>
          </w:p>
        </w:tc>
        <w:tc>
          <w:tcPr>
            <w:tcW w:type="dxa" w:w="864"/>
          </w:tcPr>
          <w:p>
            <w:pPr>
              <w:jc w:val="right"/>
              <w:bidi/>
            </w:pPr>
            <w:r>
              <w:rPr>
                <w:sz w:val="18"/>
                <w:rFonts w:cs="Arial" w:ascii="Arial" w:hAnsi="Arial"/>
              </w:rPr>
              <w:t>0.608</w:t>
            </w:r>
          </w:p>
        </w:tc>
        <w:tc>
          <w:tcPr>
            <w:tcW w:type="dxa" w:w="864"/>
          </w:tcPr>
          <w:p>
            <w:pPr>
              <w:jc w:val="right"/>
              <w:bidi/>
            </w:pPr>
            <w:r>
              <w:rPr>
                <w:sz w:val="18"/>
                <w:rFonts w:cs="Arial" w:ascii="Arial" w:hAnsi="Arial"/>
              </w:rPr>
              <w:t>0.866</w:t>
            </w:r>
          </w:p>
        </w:tc>
        <w:tc>
          <w:tcPr>
            <w:tcW w:type="dxa" w:w="864"/>
          </w:tcPr>
          <w:p>
            <w:pPr>
              <w:jc w:val="right"/>
              <w:bidi/>
            </w:pPr>
            <w:r>
              <w:rPr>
                <w:sz w:val="18"/>
                <w:rFonts w:cs="Arial" w:ascii="Arial" w:hAnsi="Arial"/>
              </w:rPr>
              <w:t>0.667</w:t>
            </w:r>
          </w:p>
        </w:tc>
        <w:tc>
          <w:tcPr>
            <w:tcW w:type="dxa" w:w="864"/>
          </w:tcPr>
          <w:p>
            <w:pPr>
              <w:jc w:val="right"/>
              <w:bidi/>
            </w:pPr>
            <w:r>
              <w:rPr>
                <w:sz w:val="18"/>
                <w:rFonts w:cs="Arial" w:ascii="Arial" w:hAnsi="Arial"/>
              </w:rPr>
              <w:t>0.429</w:t>
            </w:r>
          </w:p>
        </w:tc>
        <w:tc>
          <w:tcPr>
            <w:tcW w:type="dxa" w:w="864"/>
          </w:tcPr>
          <w:p>
            <w:pPr>
              <w:jc w:val="right"/>
              <w:bidi/>
            </w:pPr>
            <w:r>
              <w:rPr>
                <w:sz w:val="18"/>
                <w:rFonts w:cs="Arial" w:ascii="Arial" w:hAnsi="Arial"/>
              </w:rPr>
              <w:t>0.522</w:t>
            </w:r>
          </w:p>
        </w:tc>
        <w:tc>
          <w:tcPr>
            <w:tcW w:type="dxa" w:w="864"/>
          </w:tcPr>
          <w:p>
            <w:pPr>
              <w:jc w:val="right"/>
              <w:bidi/>
            </w:pPr>
            <w:r>
              <w:rPr>
                <w:sz w:val="18"/>
                <w:rFonts w:cs="Arial" w:ascii="Arial" w:hAnsi="Arial"/>
              </w:rPr>
              <w:t>0.6</w:t>
            </w:r>
          </w:p>
        </w:tc>
        <w:tc>
          <w:tcPr>
            <w:tcW w:type="dxa" w:w="864"/>
          </w:tcPr>
          <w:p>
            <w:pPr>
              <w:jc w:val="right"/>
              <w:bidi/>
            </w:pPr>
            <w:r>
              <w:rPr>
                <w:sz w:val="18"/>
                <w:rFonts w:cs="Arial" w:ascii="Arial" w:hAnsi="Arial"/>
              </w:rPr>
              <w:t>0.812</w:t>
            </w:r>
          </w:p>
        </w:tc>
        <w:tc>
          <w:tcPr>
            <w:tcW w:type="dxa" w:w="864"/>
          </w:tcPr>
          <w:p>
            <w:pPr>
              <w:jc w:val="right"/>
              <w:bidi/>
            </w:pPr>
            <w:r>
              <w:rPr>
                <w:sz w:val="18"/>
                <w:rFonts w:cs="Arial" w:ascii="Arial" w:hAnsi="Arial"/>
              </w:rPr>
              <w:t>0.508</w:t>
            </w:r>
          </w:p>
        </w:tc>
        <w:tc>
          <w:tcPr>
            <w:tcW w:type="dxa" w:w="864"/>
          </w:tcPr>
          <w:p>
            <w:pPr>
              <w:jc w:val="right"/>
              <w:bidi/>
            </w:pPr>
            <w:r>
              <w:rPr>
                <w:sz w:val="18"/>
                <w:rFonts w:cs="Arial" w:ascii="Arial" w:hAnsi="Arial"/>
              </w:rPr>
              <w:t>0.072</w:t>
            </w:r>
          </w:p>
        </w:tc>
      </w:tr>
      <w:tr>
        <w:tc>
          <w:tcPr>
            <w:tcW w:type="dxa" w:w="864"/>
          </w:tcPr>
          <w:p>
            <w:pPr>
              <w:jc w:val="right"/>
              <w:bidi/>
            </w:pPr>
            <w:r>
              <w:rPr>
                <w:sz w:val="18"/>
                <w:rFonts w:cs="Arial" w:ascii="Arial" w:hAnsi="Arial"/>
              </w:rPr>
              <w:t>XGBoost</w:t>
            </w:r>
          </w:p>
        </w:tc>
        <w:tc>
          <w:tcPr>
            <w:tcW w:type="dxa" w:w="864"/>
          </w:tcPr>
          <w:p>
            <w:pPr>
              <w:jc w:val="right"/>
              <w:bidi/>
            </w:pPr>
            <w:r>
              <w:rPr>
                <w:sz w:val="18"/>
                <w:rFonts w:cs="Arial" w:ascii="Arial" w:hAnsi="Arial"/>
              </w:rPr>
              <w:t>0.628</w:t>
            </w:r>
          </w:p>
        </w:tc>
        <w:tc>
          <w:tcPr>
            <w:tcW w:type="dxa" w:w="864"/>
          </w:tcPr>
          <w:p>
            <w:pPr>
              <w:jc w:val="right"/>
              <w:bidi/>
            </w:pPr>
            <w:r>
              <w:rPr>
                <w:sz w:val="18"/>
                <w:rFonts w:cs="Arial" w:ascii="Arial" w:hAnsi="Arial"/>
              </w:rPr>
              <w:t>0.873</w:t>
            </w:r>
          </w:p>
        </w:tc>
        <w:tc>
          <w:tcPr>
            <w:tcW w:type="dxa" w:w="864"/>
          </w:tcPr>
          <w:p>
            <w:pPr>
              <w:jc w:val="right"/>
              <w:bidi/>
            </w:pPr>
            <w:r>
              <w:rPr>
                <w:sz w:val="18"/>
                <w:rFonts w:cs="Arial" w:ascii="Arial" w:hAnsi="Arial"/>
              </w:rPr>
              <w:t>0.778</w:t>
            </w:r>
          </w:p>
        </w:tc>
        <w:tc>
          <w:tcPr>
            <w:tcW w:type="dxa" w:w="864"/>
          </w:tcPr>
          <w:p>
            <w:pPr>
              <w:jc w:val="right"/>
              <w:bidi/>
            </w:pPr>
            <w:r>
              <w:rPr>
                <w:sz w:val="18"/>
                <w:rFonts w:cs="Arial" w:ascii="Arial" w:hAnsi="Arial"/>
              </w:rPr>
              <w:t>0.438</w:t>
            </w:r>
          </w:p>
        </w:tc>
        <w:tc>
          <w:tcPr>
            <w:tcW w:type="dxa" w:w="864"/>
          </w:tcPr>
          <w:p>
            <w:pPr>
              <w:jc w:val="right"/>
              <w:bidi/>
            </w:pPr>
            <w:r>
              <w:rPr>
                <w:sz w:val="18"/>
                <w:rFonts w:cs="Arial" w:ascii="Arial" w:hAnsi="Arial"/>
              </w:rPr>
              <w:t>0.56</w:t>
            </w:r>
          </w:p>
        </w:tc>
        <w:tc>
          <w:tcPr>
            <w:tcW w:type="dxa" w:w="864"/>
          </w:tcPr>
          <w:p>
            <w:pPr>
              <w:jc w:val="right"/>
              <w:bidi/>
            </w:pPr>
            <w:r>
              <w:rPr>
                <w:sz w:val="18"/>
                <w:rFonts w:cs="Arial" w:ascii="Arial" w:hAnsi="Arial"/>
              </w:rPr>
              <w:t>0.673</w:t>
            </w:r>
          </w:p>
        </w:tc>
        <w:tc>
          <w:tcPr>
            <w:tcW w:type="dxa" w:w="864"/>
          </w:tcPr>
          <w:p>
            <w:pPr>
              <w:jc w:val="right"/>
              <w:bidi/>
            </w:pPr>
            <w:r>
              <w:rPr>
                <w:sz w:val="18"/>
                <w:rFonts w:cs="Arial" w:ascii="Arial" w:hAnsi="Arial"/>
              </w:rPr>
              <w:t>0.865</w:t>
            </w:r>
          </w:p>
        </w:tc>
        <w:tc>
          <w:tcPr>
            <w:tcW w:type="dxa" w:w="864"/>
          </w:tcPr>
          <w:p>
            <w:pPr>
              <w:jc w:val="right"/>
              <w:bidi/>
            </w:pPr>
            <w:r>
              <w:rPr>
                <w:sz w:val="18"/>
                <w:rFonts w:cs="Arial" w:ascii="Arial" w:hAnsi="Arial"/>
              </w:rPr>
              <w:t>0.558</w:t>
            </w:r>
          </w:p>
        </w:tc>
        <w:tc>
          <w:tcPr>
            <w:tcW w:type="dxa" w:w="864"/>
          </w:tcPr>
          <w:p>
            <w:pPr>
              <w:jc w:val="right"/>
              <w:bidi/>
            </w:pPr>
            <w:r>
              <w:rPr>
                <w:sz w:val="18"/>
                <w:rFonts w:cs="Arial" w:ascii="Arial" w:hAnsi="Arial"/>
              </w:rPr>
              <w:t>0.048</w:t>
            </w:r>
          </w:p>
        </w:tc>
      </w:tr>
    </w:tbl>
    <w:p/>
    <w:p>
      <w:pPr>
        <w:jc w:val="right"/>
        <w:bidi/>
      </w:pPr>
      <w:r>
        <w:rPr>
          <w:b w:val="0"/>
          <w:sz w:val="22"/>
          <w:rFonts w:cs="Arial" w:ascii="Arial" w:hAnsi="Arial"/>
        </w:rPr>
        <w:t>بر اساس جدول ۳، مدل XGBoost با PR-AUC=0.63 و ROC-AUC=0.87 بهترین عملکرد را داشت و 7 مورد از 9 شرکت درماندهٔ مجموعهٔ آزمون را شناسایی کرد (فراخوانی 0.78). جنگل تصادفی (PR-AUC=0.61) دوم و رگرسیون لجستیک (PR-AUC=0.26) سوم شد. منحنی‌های ROC و دقت-فراخوانی و ماتریس‌های درهم‌ریختگی در شکل‌های متناظر پوشهٔ نمودارها ارائه شده‌اند.</w:t>
      </w:r>
    </w:p>
    <w:p>
      <w:pPr>
        <w:jc w:val="right"/>
        <w:bidi/>
      </w:pPr>
      <w:r>
        <w:rPr>
          <w:b/>
          <w:color w:val="333333"/>
          <w:sz w:val="20"/>
          <w:rFonts w:cs="Arial" w:ascii="Arial" w:hAnsi="Arial"/>
        </w:rPr>
        <w:t>جدول ۴: بازهٔ اطمینان ۹۵٪ با bootstrap خوشه‌ای (مدل XGBoost، آزمون)</w:t>
      </w:r>
    </w:p>
    <w:tbl>
      <w:tblPr>
        <w:tblStyle w:val="LightGrid-Accent1"/>
        <w:tblW w:type="auto" w:w="0"/>
        <w:jc w:val="right"/>
        <w:tblLook w:firstColumn="1" w:firstRow="1" w:lastColumn="0" w:lastRow="0" w:noHBand="0" w:noVBand="1" w:val="04A0"/>
        <w:bidiVisual/>
      </w:tblPr>
      <w:tblGrid>
        <w:gridCol w:w="2160"/>
        <w:gridCol w:w="2160"/>
        <w:gridCol w:w="2160"/>
        <w:gridCol w:w="2160"/>
      </w:tblGrid>
      <w:tr>
        <w:tc>
          <w:tcPr>
            <w:tcW w:type="dxa" w:w="2160"/>
          </w:tcPr>
          <w:p>
            <w:pPr>
              <w:jc w:val="right"/>
              <w:bidi/>
            </w:pPr>
            <w:r>
              <w:rPr>
                <w:b/>
                <w:sz w:val="18"/>
                <w:rFonts w:cs="Arial" w:ascii="Arial" w:hAnsi="Arial"/>
              </w:rPr>
              <w:t>metric</w:t>
            </w:r>
          </w:p>
        </w:tc>
        <w:tc>
          <w:tcPr>
            <w:tcW w:type="dxa" w:w="2160"/>
          </w:tcPr>
          <w:p>
            <w:pPr>
              <w:jc w:val="right"/>
              <w:bidi/>
            </w:pPr>
            <w:r>
              <w:rPr>
                <w:b/>
                <w:sz w:val="18"/>
                <w:rFonts w:cs="Arial" w:ascii="Arial" w:hAnsi="Arial"/>
              </w:rPr>
              <w:t>point</w:t>
            </w:r>
          </w:p>
        </w:tc>
        <w:tc>
          <w:tcPr>
            <w:tcW w:type="dxa" w:w="2160"/>
          </w:tcPr>
          <w:p>
            <w:pPr>
              <w:jc w:val="right"/>
              <w:bidi/>
            </w:pPr>
            <w:r>
              <w:rPr>
                <w:b/>
                <w:sz w:val="18"/>
                <w:rFonts w:cs="Arial" w:ascii="Arial" w:hAnsi="Arial"/>
              </w:rPr>
              <w:t>ci_low</w:t>
            </w:r>
          </w:p>
        </w:tc>
        <w:tc>
          <w:tcPr>
            <w:tcW w:type="dxa" w:w="2160"/>
          </w:tcPr>
          <w:p>
            <w:pPr>
              <w:jc w:val="right"/>
              <w:bidi/>
            </w:pPr>
            <w:r>
              <w:rPr>
                <w:b/>
                <w:sz w:val="18"/>
                <w:rFonts w:cs="Arial" w:ascii="Arial" w:hAnsi="Arial"/>
              </w:rPr>
              <w:t>ci_high</w:t>
            </w:r>
          </w:p>
        </w:tc>
      </w:tr>
      <w:tr>
        <w:tc>
          <w:tcPr>
            <w:tcW w:type="dxa" w:w="2160"/>
          </w:tcPr>
          <w:p>
            <w:pPr>
              <w:jc w:val="right"/>
              <w:bidi/>
            </w:pPr>
            <w:r>
              <w:rPr>
                <w:sz w:val="18"/>
                <w:rFonts w:cs="Arial" w:ascii="Arial" w:hAnsi="Arial"/>
              </w:rPr>
              <w:t>pr_auc</w:t>
            </w:r>
          </w:p>
        </w:tc>
        <w:tc>
          <w:tcPr>
            <w:tcW w:type="dxa" w:w="2160"/>
          </w:tcPr>
          <w:p>
            <w:pPr>
              <w:jc w:val="right"/>
              <w:bidi/>
            </w:pPr>
            <w:r>
              <w:rPr>
                <w:sz w:val="18"/>
                <w:rFonts w:cs="Arial" w:ascii="Arial" w:hAnsi="Arial"/>
              </w:rPr>
              <w:t>0.628</w:t>
            </w:r>
          </w:p>
        </w:tc>
        <w:tc>
          <w:tcPr>
            <w:tcW w:type="dxa" w:w="2160"/>
          </w:tcPr>
          <w:p>
            <w:pPr>
              <w:jc w:val="right"/>
              <w:bidi/>
            </w:pPr>
            <w:r>
              <w:rPr>
                <w:sz w:val="18"/>
                <w:rFonts w:cs="Arial" w:ascii="Arial" w:hAnsi="Arial"/>
              </w:rPr>
              <w:t>0.238</w:t>
            </w:r>
          </w:p>
        </w:tc>
        <w:tc>
          <w:tcPr>
            <w:tcW w:type="dxa" w:w="2160"/>
          </w:tcPr>
          <w:p>
            <w:pPr>
              <w:jc w:val="right"/>
              <w:bidi/>
            </w:pPr>
            <w:r>
              <w:rPr>
                <w:sz w:val="18"/>
                <w:rFonts w:cs="Arial" w:ascii="Arial" w:hAnsi="Arial"/>
              </w:rPr>
              <w:t>0.957</w:t>
            </w:r>
          </w:p>
        </w:tc>
      </w:tr>
      <w:tr>
        <w:tc>
          <w:tcPr>
            <w:tcW w:type="dxa" w:w="2160"/>
          </w:tcPr>
          <w:p>
            <w:pPr>
              <w:jc w:val="right"/>
              <w:bidi/>
            </w:pPr>
            <w:r>
              <w:rPr>
                <w:sz w:val="18"/>
                <w:rFonts w:cs="Arial" w:ascii="Arial" w:hAnsi="Arial"/>
              </w:rPr>
              <w:t>roc_auc</w:t>
            </w:r>
          </w:p>
        </w:tc>
        <w:tc>
          <w:tcPr>
            <w:tcW w:type="dxa" w:w="2160"/>
          </w:tcPr>
          <w:p>
            <w:pPr>
              <w:jc w:val="right"/>
              <w:bidi/>
            </w:pPr>
            <w:r>
              <w:rPr>
                <w:sz w:val="18"/>
                <w:rFonts w:cs="Arial" w:ascii="Arial" w:hAnsi="Arial"/>
              </w:rPr>
              <w:t>0.873</w:t>
            </w:r>
          </w:p>
        </w:tc>
        <w:tc>
          <w:tcPr>
            <w:tcW w:type="dxa" w:w="2160"/>
          </w:tcPr>
          <w:p>
            <w:pPr>
              <w:jc w:val="right"/>
              <w:bidi/>
            </w:pPr>
            <w:r>
              <w:rPr>
                <w:sz w:val="18"/>
                <w:rFonts w:cs="Arial" w:ascii="Arial" w:hAnsi="Arial"/>
              </w:rPr>
              <w:t>0.6</w:t>
            </w:r>
          </w:p>
        </w:tc>
        <w:tc>
          <w:tcPr>
            <w:tcW w:type="dxa" w:w="2160"/>
          </w:tcPr>
          <w:p>
            <w:pPr>
              <w:jc w:val="right"/>
              <w:bidi/>
            </w:pPr>
            <w:r>
              <w:rPr>
                <w:sz w:val="18"/>
                <w:rFonts w:cs="Arial" w:ascii="Arial" w:hAnsi="Arial"/>
              </w:rPr>
              <w:t>0.997</w:t>
            </w:r>
          </w:p>
        </w:tc>
      </w:tr>
      <w:tr>
        <w:tc>
          <w:tcPr>
            <w:tcW w:type="dxa" w:w="2160"/>
          </w:tcPr>
          <w:p>
            <w:pPr>
              <w:jc w:val="right"/>
              <w:bidi/>
            </w:pPr>
            <w:r>
              <w:rPr>
                <w:sz w:val="18"/>
                <w:rFonts w:cs="Arial" w:ascii="Arial" w:hAnsi="Arial"/>
              </w:rPr>
              <w:t>brier</w:t>
            </w:r>
          </w:p>
        </w:tc>
        <w:tc>
          <w:tcPr>
            <w:tcW w:type="dxa" w:w="2160"/>
          </w:tcPr>
          <w:p>
            <w:pPr>
              <w:jc w:val="right"/>
              <w:bidi/>
            </w:pPr>
            <w:r>
              <w:rPr>
                <w:sz w:val="18"/>
                <w:rFonts w:cs="Arial" w:ascii="Arial" w:hAnsi="Arial"/>
              </w:rPr>
              <w:t>0.048</w:t>
            </w:r>
          </w:p>
        </w:tc>
        <w:tc>
          <w:tcPr>
            <w:tcW w:type="dxa" w:w="2160"/>
          </w:tcPr>
          <w:p>
            <w:pPr>
              <w:jc w:val="right"/>
              <w:bidi/>
            </w:pPr>
            <w:r>
              <w:rPr>
                <w:sz w:val="18"/>
                <w:rFonts w:cs="Arial" w:ascii="Arial" w:hAnsi="Arial"/>
              </w:rPr>
              <w:t>0.027</w:t>
            </w:r>
          </w:p>
        </w:tc>
        <w:tc>
          <w:tcPr>
            <w:tcW w:type="dxa" w:w="2160"/>
          </w:tcPr>
          <w:p>
            <w:pPr>
              <w:jc w:val="right"/>
              <w:bidi/>
            </w:pPr>
            <w:r>
              <w:rPr>
                <w:sz w:val="18"/>
                <w:rFonts w:cs="Arial" w:ascii="Arial" w:hAnsi="Arial"/>
              </w:rPr>
              <w:t>0.074</w:t>
            </w:r>
          </w:p>
        </w:tc>
      </w:tr>
      <w:tr>
        <w:tc>
          <w:tcPr>
            <w:tcW w:type="dxa" w:w="2160"/>
          </w:tcPr>
          <w:p>
            <w:pPr>
              <w:jc w:val="right"/>
              <w:bidi/>
            </w:pPr>
            <w:r>
              <w:rPr>
                <w:sz w:val="18"/>
                <w:rFonts w:cs="Arial" w:ascii="Arial" w:hAnsi="Arial"/>
              </w:rPr>
              <w:t>precision</w:t>
            </w:r>
          </w:p>
        </w:tc>
        <w:tc>
          <w:tcPr>
            <w:tcW w:type="dxa" w:w="2160"/>
          </w:tcPr>
          <w:p>
            <w:pPr>
              <w:jc w:val="right"/>
              <w:bidi/>
            </w:pPr>
            <w:r>
              <w:rPr>
                <w:sz w:val="18"/>
                <w:rFonts w:cs="Arial" w:ascii="Arial" w:hAnsi="Arial"/>
              </w:rPr>
              <w:t>0.438</w:t>
            </w:r>
          </w:p>
        </w:tc>
        <w:tc>
          <w:tcPr>
            <w:tcW w:type="dxa" w:w="2160"/>
          </w:tcPr>
          <w:p>
            <w:pPr>
              <w:jc w:val="right"/>
              <w:bidi/>
            </w:pPr>
            <w:r>
              <w:rPr>
                <w:sz w:val="18"/>
                <w:rFonts w:cs="Arial" w:ascii="Arial" w:hAnsi="Arial"/>
              </w:rPr>
              <w:t>0.166</w:t>
            </w:r>
          </w:p>
        </w:tc>
        <w:tc>
          <w:tcPr>
            <w:tcW w:type="dxa" w:w="2160"/>
          </w:tcPr>
          <w:p>
            <w:pPr>
              <w:jc w:val="right"/>
              <w:bidi/>
            </w:pPr>
            <w:r>
              <w:rPr>
                <w:sz w:val="18"/>
                <w:rFonts w:cs="Arial" w:ascii="Arial" w:hAnsi="Arial"/>
              </w:rPr>
              <w:t>0.706</w:t>
            </w:r>
          </w:p>
        </w:tc>
      </w:tr>
      <w:tr>
        <w:tc>
          <w:tcPr>
            <w:tcW w:type="dxa" w:w="2160"/>
          </w:tcPr>
          <w:p>
            <w:pPr>
              <w:jc w:val="right"/>
              <w:bidi/>
            </w:pPr>
            <w:r>
              <w:rPr>
                <w:sz w:val="18"/>
                <w:rFonts w:cs="Arial" w:ascii="Arial" w:hAnsi="Arial"/>
              </w:rPr>
              <w:t>recall</w:t>
            </w:r>
          </w:p>
        </w:tc>
        <w:tc>
          <w:tcPr>
            <w:tcW w:type="dxa" w:w="2160"/>
          </w:tcPr>
          <w:p>
            <w:pPr>
              <w:jc w:val="right"/>
              <w:bidi/>
            </w:pPr>
            <w:r>
              <w:rPr>
                <w:sz w:val="18"/>
                <w:rFonts w:cs="Arial" w:ascii="Arial" w:hAnsi="Arial"/>
              </w:rPr>
              <w:t>0.778</w:t>
            </w:r>
          </w:p>
        </w:tc>
        <w:tc>
          <w:tcPr>
            <w:tcW w:type="dxa" w:w="2160"/>
          </w:tcPr>
          <w:p>
            <w:pPr>
              <w:jc w:val="right"/>
              <w:bidi/>
            </w:pPr>
            <w:r>
              <w:rPr>
                <w:sz w:val="18"/>
                <w:rFonts w:cs="Arial" w:ascii="Arial" w:hAnsi="Arial"/>
              </w:rPr>
              <w:t>0.333</w:t>
            </w:r>
          </w:p>
        </w:tc>
        <w:tc>
          <w:tcPr>
            <w:tcW w:type="dxa" w:w="2160"/>
          </w:tcPr>
          <w:p>
            <w:pPr>
              <w:jc w:val="right"/>
              <w:bidi/>
            </w:pPr>
            <w:r>
              <w:rPr>
                <w:sz w:val="18"/>
                <w:rFonts w:cs="Arial" w:ascii="Arial" w:hAnsi="Arial"/>
              </w:rPr>
              <w:t>1.0</w:t>
            </w:r>
          </w:p>
        </w:tc>
      </w:tr>
      <w:tr>
        <w:tc>
          <w:tcPr>
            <w:tcW w:type="dxa" w:w="2160"/>
          </w:tcPr>
          <w:p>
            <w:pPr>
              <w:jc w:val="right"/>
              <w:bidi/>
            </w:pPr>
            <w:r>
              <w:rPr>
                <w:sz w:val="18"/>
                <w:rFonts w:cs="Arial" w:ascii="Arial" w:hAnsi="Arial"/>
              </w:rPr>
              <w:t>f1</w:t>
            </w:r>
          </w:p>
        </w:tc>
        <w:tc>
          <w:tcPr>
            <w:tcW w:type="dxa" w:w="2160"/>
          </w:tcPr>
          <w:p>
            <w:pPr>
              <w:jc w:val="right"/>
              <w:bidi/>
            </w:pPr>
            <w:r>
              <w:rPr>
                <w:sz w:val="18"/>
                <w:rFonts w:cs="Arial" w:ascii="Arial" w:hAnsi="Arial"/>
              </w:rPr>
              <w:t>0.56</w:t>
            </w:r>
          </w:p>
        </w:tc>
        <w:tc>
          <w:tcPr>
            <w:tcW w:type="dxa" w:w="2160"/>
          </w:tcPr>
          <w:p>
            <w:pPr>
              <w:jc w:val="right"/>
              <w:bidi/>
            </w:pPr>
            <w:r>
              <w:rPr>
                <w:sz w:val="18"/>
                <w:rFonts w:cs="Arial" w:ascii="Arial" w:hAnsi="Arial"/>
              </w:rPr>
              <w:t>0.23</w:t>
            </w:r>
          </w:p>
        </w:tc>
        <w:tc>
          <w:tcPr>
            <w:tcW w:type="dxa" w:w="2160"/>
          </w:tcPr>
          <w:p>
            <w:pPr>
              <w:jc w:val="right"/>
              <w:bidi/>
            </w:pPr>
            <w:r>
              <w:rPr>
                <w:sz w:val="18"/>
                <w:rFonts w:cs="Arial" w:ascii="Arial" w:hAnsi="Arial"/>
              </w:rPr>
              <w:t>0.774</w:t>
            </w:r>
          </w:p>
        </w:tc>
      </w:tr>
      <w:tr>
        <w:tc>
          <w:tcPr>
            <w:tcW w:type="dxa" w:w="2160"/>
          </w:tcPr>
          <w:p>
            <w:pPr>
              <w:jc w:val="right"/>
              <w:bidi/>
            </w:pPr>
            <w:r>
              <w:rPr>
                <w:sz w:val="18"/>
                <w:rFonts w:cs="Arial" w:ascii="Arial" w:hAnsi="Arial"/>
              </w:rPr>
              <w:t>f2</w:t>
            </w:r>
          </w:p>
        </w:tc>
        <w:tc>
          <w:tcPr>
            <w:tcW w:type="dxa" w:w="2160"/>
          </w:tcPr>
          <w:p>
            <w:pPr>
              <w:jc w:val="right"/>
              <w:bidi/>
            </w:pPr>
            <w:r>
              <w:rPr>
                <w:sz w:val="18"/>
                <w:rFonts w:cs="Arial" w:ascii="Arial" w:hAnsi="Arial"/>
              </w:rPr>
              <w:t>0.673</w:t>
            </w:r>
          </w:p>
        </w:tc>
        <w:tc>
          <w:tcPr>
            <w:tcW w:type="dxa" w:w="2160"/>
          </w:tcPr>
          <w:p>
            <w:pPr>
              <w:jc w:val="right"/>
              <w:bidi/>
            </w:pPr>
            <w:r>
              <w:rPr>
                <w:sz w:val="18"/>
                <w:rFonts w:cs="Arial" w:ascii="Arial" w:hAnsi="Arial"/>
              </w:rPr>
              <w:t>0.294</w:t>
            </w:r>
          </w:p>
        </w:tc>
        <w:tc>
          <w:tcPr>
            <w:tcW w:type="dxa" w:w="2160"/>
          </w:tcPr>
          <w:p>
            <w:pPr>
              <w:jc w:val="right"/>
              <w:bidi/>
            </w:pPr>
            <w:r>
              <w:rPr>
                <w:sz w:val="18"/>
                <w:rFonts w:cs="Arial" w:ascii="Arial" w:hAnsi="Arial"/>
              </w:rPr>
              <w:t>0.878</w:t>
            </w:r>
          </w:p>
        </w:tc>
      </w:tr>
      <w:tr>
        <w:tc>
          <w:tcPr>
            <w:tcW w:type="dxa" w:w="2160"/>
          </w:tcPr>
          <w:p>
            <w:pPr>
              <w:jc w:val="right"/>
              <w:bidi/>
            </w:pPr>
            <w:r>
              <w:rPr>
                <w:sz w:val="18"/>
                <w:rFonts w:cs="Arial" w:ascii="Arial" w:hAnsi="Arial"/>
              </w:rPr>
              <w:t>specificity</w:t>
            </w:r>
          </w:p>
        </w:tc>
        <w:tc>
          <w:tcPr>
            <w:tcW w:type="dxa" w:w="2160"/>
          </w:tcPr>
          <w:p>
            <w:pPr>
              <w:jc w:val="right"/>
              <w:bidi/>
            </w:pPr>
            <w:r>
              <w:rPr>
                <w:sz w:val="18"/>
                <w:rFonts w:cs="Arial" w:ascii="Arial" w:hAnsi="Arial"/>
              </w:rPr>
              <w:t>0.953</w:t>
            </w:r>
          </w:p>
        </w:tc>
        <w:tc>
          <w:tcPr>
            <w:tcW w:type="dxa" w:w="2160"/>
          </w:tcPr>
          <w:p>
            <w:pPr>
              <w:jc w:val="right"/>
              <w:bidi/>
            </w:pPr>
            <w:r>
              <w:rPr>
                <w:sz w:val="18"/>
                <w:rFonts w:cs="Arial" w:ascii="Arial" w:hAnsi="Arial"/>
              </w:rPr>
              <w:t>0.916</w:t>
            </w:r>
          </w:p>
        </w:tc>
        <w:tc>
          <w:tcPr>
            <w:tcW w:type="dxa" w:w="2160"/>
          </w:tcPr>
          <w:p>
            <w:pPr>
              <w:jc w:val="right"/>
              <w:bidi/>
            </w:pPr>
            <w:r>
              <w:rPr>
                <w:sz w:val="18"/>
                <w:rFonts w:cs="Arial" w:ascii="Arial" w:hAnsi="Arial"/>
              </w:rPr>
              <w:t>0.984</w:t>
            </w:r>
          </w:p>
        </w:tc>
      </w:tr>
      <w:tr>
        <w:tc>
          <w:tcPr>
            <w:tcW w:type="dxa" w:w="2160"/>
          </w:tcPr>
          <w:p>
            <w:pPr>
              <w:jc w:val="right"/>
              <w:bidi/>
            </w:pPr>
            <w:r>
              <w:rPr>
                <w:sz w:val="18"/>
                <w:rFonts w:cs="Arial" w:ascii="Arial" w:hAnsi="Arial"/>
              </w:rPr>
              <w:t>balanced_accuracy</w:t>
            </w:r>
          </w:p>
        </w:tc>
        <w:tc>
          <w:tcPr>
            <w:tcW w:type="dxa" w:w="2160"/>
          </w:tcPr>
          <w:p>
            <w:pPr>
              <w:jc w:val="right"/>
              <w:bidi/>
            </w:pPr>
            <w:r>
              <w:rPr>
                <w:sz w:val="18"/>
                <w:rFonts w:cs="Arial" w:ascii="Arial" w:hAnsi="Arial"/>
              </w:rPr>
              <w:t>0.865</w:t>
            </w:r>
          </w:p>
        </w:tc>
        <w:tc>
          <w:tcPr>
            <w:tcW w:type="dxa" w:w="2160"/>
          </w:tcPr>
          <w:p>
            <w:pPr>
              <w:jc w:val="right"/>
              <w:bidi/>
            </w:pPr>
            <w:r>
              <w:rPr>
                <w:sz w:val="18"/>
                <w:rFonts w:cs="Arial" w:ascii="Arial" w:hAnsi="Arial"/>
              </w:rPr>
              <w:t>0.653</w:t>
            </w:r>
          </w:p>
        </w:tc>
        <w:tc>
          <w:tcPr>
            <w:tcW w:type="dxa" w:w="2160"/>
          </w:tcPr>
          <w:p>
            <w:pPr>
              <w:jc w:val="right"/>
              <w:bidi/>
            </w:pPr>
            <w:r>
              <w:rPr>
                <w:sz w:val="18"/>
                <w:rFonts w:cs="Arial" w:ascii="Arial" w:hAnsi="Arial"/>
              </w:rPr>
              <w:t>0.985</w:t>
            </w:r>
          </w:p>
        </w:tc>
      </w:tr>
      <w:tr>
        <w:tc>
          <w:tcPr>
            <w:tcW w:type="dxa" w:w="2160"/>
          </w:tcPr>
          <w:p>
            <w:pPr>
              <w:jc w:val="right"/>
              <w:bidi/>
            </w:pPr>
            <w:r>
              <w:rPr>
                <w:sz w:val="18"/>
                <w:rFonts w:cs="Arial" w:ascii="Arial" w:hAnsi="Arial"/>
              </w:rPr>
              <w:t>mcc</w:t>
            </w:r>
          </w:p>
        </w:tc>
        <w:tc>
          <w:tcPr>
            <w:tcW w:type="dxa" w:w="2160"/>
          </w:tcPr>
          <w:p>
            <w:pPr>
              <w:jc w:val="right"/>
              <w:bidi/>
            </w:pPr>
            <w:r>
              <w:rPr>
                <w:sz w:val="18"/>
                <w:rFonts w:cs="Arial" w:ascii="Arial" w:hAnsi="Arial"/>
              </w:rPr>
              <w:t>0.558</w:t>
            </w:r>
          </w:p>
        </w:tc>
        <w:tc>
          <w:tcPr>
            <w:tcW w:type="dxa" w:w="2160"/>
          </w:tcPr>
          <w:p>
            <w:pPr>
              <w:jc w:val="right"/>
              <w:bidi/>
            </w:pPr>
            <w:r>
              <w:rPr>
                <w:sz w:val="18"/>
                <w:rFonts w:cs="Arial" w:ascii="Arial" w:hAnsi="Arial"/>
              </w:rPr>
              <w:t>0.218</w:t>
            </w:r>
          </w:p>
        </w:tc>
        <w:tc>
          <w:tcPr>
            <w:tcW w:type="dxa" w:w="2160"/>
          </w:tcPr>
          <w:p>
            <w:pPr>
              <w:jc w:val="right"/>
              <w:bidi/>
            </w:pPr>
            <w:r>
              <w:rPr>
                <w:sz w:val="18"/>
                <w:rFonts w:cs="Arial" w:ascii="Arial" w:hAnsi="Arial"/>
              </w:rPr>
              <w:t>0.773</w:t>
            </w:r>
          </w:p>
        </w:tc>
      </w:tr>
    </w:tbl>
    <w:p/>
    <w:p>
      <w:pPr>
        <w:jc w:val="right"/>
        <w:bidi/>
      </w:pPr>
      <w:r>
        <w:rPr>
          <w:b/>
          <w:color w:val="333333"/>
          <w:sz w:val="20"/>
          <w:rFonts w:cs="Arial" w:ascii="Arial" w:hAnsi="Arial"/>
        </w:rPr>
        <w:t>جدول ۵: ده ویژگی برتر بر اساس اهمیت سراسری SHAP (XGBoost)</w:t>
      </w:r>
    </w:p>
    <w:tbl>
      <w:tblPr>
        <w:tblStyle w:val="LightGrid-Accent1"/>
        <w:tblW w:type="auto" w:w="0"/>
        <w:jc w:val="right"/>
        <w:tblLook w:firstColumn="1" w:firstRow="1" w:lastColumn="0" w:lastRow="0" w:noHBand="0" w:noVBand="1" w:val="04A0"/>
        <w:bidiVisual/>
      </w:tblPr>
      <w:tblGrid>
        <w:gridCol w:w="4320"/>
        <w:gridCol w:w="4320"/>
      </w:tblGrid>
      <w:tr>
        <w:tc>
          <w:tcPr>
            <w:tcW w:type="dxa" w:w="4320"/>
          </w:tcPr>
          <w:p>
            <w:pPr>
              <w:jc w:val="right"/>
              <w:bidi/>
            </w:pPr>
            <w:r>
              <w:rPr>
                <w:b/>
                <w:sz w:val="18"/>
                <w:rFonts w:cs="Arial" w:ascii="Arial" w:hAnsi="Arial"/>
              </w:rPr>
              <w:t>ویژگی</w:t>
            </w:r>
          </w:p>
        </w:tc>
        <w:tc>
          <w:tcPr>
            <w:tcW w:type="dxa" w:w="4320"/>
          </w:tcPr>
          <w:p>
            <w:pPr>
              <w:jc w:val="right"/>
              <w:bidi/>
            </w:pPr>
            <w:r>
              <w:rPr>
                <w:b/>
                <w:sz w:val="18"/>
                <w:rFonts w:cs="Arial" w:ascii="Arial" w:hAnsi="Arial"/>
              </w:rPr>
              <w:t>میانگین |SHAP|</w:t>
            </w:r>
          </w:p>
        </w:tc>
      </w:tr>
      <w:tr>
        <w:tc>
          <w:tcPr>
            <w:tcW w:type="dxa" w:w="4320"/>
          </w:tcPr>
          <w:p>
            <w:pPr>
              <w:jc w:val="right"/>
              <w:bidi/>
            </w:pPr>
            <w:r>
              <w:rPr>
                <w:sz w:val="18"/>
                <w:rFonts w:cs="Arial" w:ascii="Arial" w:hAnsi="Arial"/>
              </w:rPr>
              <w:t>num__leverage_ratio</w:t>
            </w:r>
          </w:p>
        </w:tc>
        <w:tc>
          <w:tcPr>
            <w:tcW w:type="dxa" w:w="4320"/>
          </w:tcPr>
          <w:p>
            <w:pPr>
              <w:jc w:val="right"/>
              <w:bidi/>
            </w:pPr>
            <w:r>
              <w:rPr>
                <w:sz w:val="18"/>
                <w:rFonts w:cs="Arial" w:ascii="Arial" w:hAnsi="Arial"/>
              </w:rPr>
              <w:t>1.1074</w:t>
            </w:r>
          </w:p>
        </w:tc>
      </w:tr>
      <w:tr>
        <w:tc>
          <w:tcPr>
            <w:tcW w:type="dxa" w:w="4320"/>
          </w:tcPr>
          <w:p>
            <w:pPr>
              <w:jc w:val="right"/>
              <w:bidi/>
            </w:pPr>
            <w:r>
              <w:rPr>
                <w:sz w:val="18"/>
                <w:rFonts w:cs="Arial" w:ascii="Arial" w:hAnsi="Arial"/>
              </w:rPr>
              <w:t>cat__industry_خودرو و ساخت قطعات</w:t>
            </w:r>
          </w:p>
        </w:tc>
        <w:tc>
          <w:tcPr>
            <w:tcW w:type="dxa" w:w="4320"/>
          </w:tcPr>
          <w:p>
            <w:pPr>
              <w:jc w:val="right"/>
              <w:bidi/>
            </w:pPr>
            <w:r>
              <w:rPr>
                <w:sz w:val="18"/>
                <w:rFonts w:cs="Arial" w:ascii="Arial" w:hAnsi="Arial"/>
              </w:rPr>
              <w:t>0.8536</w:t>
            </w:r>
          </w:p>
        </w:tc>
      </w:tr>
      <w:tr>
        <w:tc>
          <w:tcPr>
            <w:tcW w:type="dxa" w:w="4320"/>
          </w:tcPr>
          <w:p>
            <w:pPr>
              <w:jc w:val="right"/>
              <w:bidi/>
            </w:pPr>
            <w:r>
              <w:rPr>
                <w:sz w:val="18"/>
                <w:rFonts w:cs="Arial" w:ascii="Arial" w:hAnsi="Arial"/>
              </w:rPr>
              <w:t>num__log_total_assets</w:t>
            </w:r>
          </w:p>
        </w:tc>
        <w:tc>
          <w:tcPr>
            <w:tcW w:type="dxa" w:w="4320"/>
          </w:tcPr>
          <w:p>
            <w:pPr>
              <w:jc w:val="right"/>
              <w:bidi/>
            </w:pPr>
            <w:r>
              <w:rPr>
                <w:sz w:val="18"/>
                <w:rFonts w:cs="Arial" w:ascii="Arial" w:hAnsi="Arial"/>
              </w:rPr>
              <w:t>0.5864</w:t>
            </w:r>
          </w:p>
        </w:tc>
      </w:tr>
      <w:tr>
        <w:tc>
          <w:tcPr>
            <w:tcW w:type="dxa" w:w="4320"/>
          </w:tcPr>
          <w:p>
            <w:pPr>
              <w:jc w:val="right"/>
              <w:bidi/>
            </w:pPr>
            <w:r>
              <w:rPr>
                <w:sz w:val="18"/>
                <w:rFonts w:cs="Arial" w:ascii="Arial" w:hAnsi="Arial"/>
              </w:rPr>
              <w:t>num__net_margin_period_adjusted</w:t>
            </w:r>
          </w:p>
        </w:tc>
        <w:tc>
          <w:tcPr>
            <w:tcW w:type="dxa" w:w="4320"/>
          </w:tcPr>
          <w:p>
            <w:pPr>
              <w:jc w:val="right"/>
              <w:bidi/>
            </w:pPr>
            <w:r>
              <w:rPr>
                <w:sz w:val="18"/>
                <w:rFonts w:cs="Arial" w:ascii="Arial" w:hAnsi="Arial"/>
              </w:rPr>
              <w:t>0.4491</w:t>
            </w:r>
          </w:p>
        </w:tc>
      </w:tr>
      <w:tr>
        <w:tc>
          <w:tcPr>
            <w:tcW w:type="dxa" w:w="4320"/>
          </w:tcPr>
          <w:p>
            <w:pPr>
              <w:jc w:val="right"/>
              <w:bidi/>
            </w:pPr>
            <w:r>
              <w:rPr>
                <w:sz w:val="18"/>
                <w:rFonts w:cs="Arial" w:ascii="Arial" w:hAnsi="Arial"/>
              </w:rPr>
              <w:t>num__asset_turnover_period_adjusted</w:t>
            </w:r>
          </w:p>
        </w:tc>
        <w:tc>
          <w:tcPr>
            <w:tcW w:type="dxa" w:w="4320"/>
          </w:tcPr>
          <w:p>
            <w:pPr>
              <w:jc w:val="right"/>
              <w:bidi/>
            </w:pPr>
            <w:r>
              <w:rPr>
                <w:sz w:val="18"/>
                <w:rFonts w:cs="Arial" w:ascii="Arial" w:hAnsi="Arial"/>
              </w:rPr>
              <w:t>0.3542</w:t>
            </w:r>
          </w:p>
        </w:tc>
      </w:tr>
      <w:tr>
        <w:tc>
          <w:tcPr>
            <w:tcW w:type="dxa" w:w="4320"/>
          </w:tcPr>
          <w:p>
            <w:pPr>
              <w:jc w:val="right"/>
              <w:bidi/>
            </w:pPr>
            <w:r>
              <w:rPr>
                <w:sz w:val="18"/>
                <w:rFonts w:cs="Arial" w:ascii="Arial" w:hAnsi="Arial"/>
              </w:rPr>
              <w:t>num__current_ratio</w:t>
            </w:r>
          </w:p>
        </w:tc>
        <w:tc>
          <w:tcPr>
            <w:tcW w:type="dxa" w:w="4320"/>
          </w:tcPr>
          <w:p>
            <w:pPr>
              <w:jc w:val="right"/>
              <w:bidi/>
            </w:pPr>
            <w:r>
              <w:rPr>
                <w:sz w:val="18"/>
                <w:rFonts w:cs="Arial" w:ascii="Arial" w:hAnsi="Arial"/>
              </w:rPr>
              <w:t>0.3204</w:t>
            </w:r>
          </w:p>
        </w:tc>
      </w:tr>
      <w:tr>
        <w:tc>
          <w:tcPr>
            <w:tcW w:type="dxa" w:w="4320"/>
          </w:tcPr>
          <w:p>
            <w:pPr>
              <w:jc w:val="right"/>
              <w:bidi/>
            </w:pPr>
            <w:r>
              <w:rPr>
                <w:sz w:val="18"/>
                <w:rFonts w:cs="Arial" w:ascii="Arial" w:hAnsi="Arial"/>
              </w:rPr>
              <w:t>num__net_income_growth_period_adjusted</w:t>
            </w:r>
          </w:p>
        </w:tc>
        <w:tc>
          <w:tcPr>
            <w:tcW w:type="dxa" w:w="4320"/>
          </w:tcPr>
          <w:p>
            <w:pPr>
              <w:jc w:val="right"/>
              <w:bidi/>
            </w:pPr>
            <w:r>
              <w:rPr>
                <w:sz w:val="18"/>
                <w:rFonts w:cs="Arial" w:ascii="Arial" w:hAnsi="Arial"/>
              </w:rPr>
              <w:t>0.2704</w:t>
            </w:r>
          </w:p>
        </w:tc>
      </w:tr>
      <w:tr>
        <w:tc>
          <w:tcPr>
            <w:tcW w:type="dxa" w:w="4320"/>
          </w:tcPr>
          <w:p>
            <w:pPr>
              <w:jc w:val="right"/>
              <w:bidi/>
            </w:pPr>
            <w:r>
              <w:rPr>
                <w:sz w:val="18"/>
                <w:rFonts w:cs="Arial" w:ascii="Arial" w:hAnsi="Arial"/>
              </w:rPr>
              <w:t>num__financial_expense_to_assets_period_adjusted</w:t>
            </w:r>
          </w:p>
        </w:tc>
        <w:tc>
          <w:tcPr>
            <w:tcW w:type="dxa" w:w="4320"/>
          </w:tcPr>
          <w:p>
            <w:pPr>
              <w:jc w:val="right"/>
              <w:bidi/>
            </w:pPr>
            <w:r>
              <w:rPr>
                <w:sz w:val="18"/>
                <w:rFonts w:cs="Arial" w:ascii="Arial" w:hAnsi="Arial"/>
              </w:rPr>
              <w:t>0.2442</w:t>
            </w:r>
          </w:p>
        </w:tc>
      </w:tr>
      <w:tr>
        <w:tc>
          <w:tcPr>
            <w:tcW w:type="dxa" w:w="4320"/>
          </w:tcPr>
          <w:p>
            <w:pPr>
              <w:jc w:val="right"/>
              <w:bidi/>
            </w:pPr>
            <w:r>
              <w:rPr>
                <w:sz w:val="18"/>
                <w:rFonts w:cs="Arial" w:ascii="Arial" w:hAnsi="Arial"/>
              </w:rPr>
              <w:t>num__roa_period_adjusted</w:t>
            </w:r>
          </w:p>
        </w:tc>
        <w:tc>
          <w:tcPr>
            <w:tcW w:type="dxa" w:w="4320"/>
          </w:tcPr>
          <w:p>
            <w:pPr>
              <w:jc w:val="right"/>
              <w:bidi/>
            </w:pPr>
            <w:r>
              <w:rPr>
                <w:sz w:val="18"/>
                <w:rFonts w:cs="Arial" w:ascii="Arial" w:hAnsi="Arial"/>
              </w:rPr>
              <w:t>0.1771</w:t>
            </w:r>
          </w:p>
        </w:tc>
      </w:tr>
      <w:tr>
        <w:tc>
          <w:tcPr>
            <w:tcW w:type="dxa" w:w="4320"/>
          </w:tcPr>
          <w:p>
            <w:pPr>
              <w:jc w:val="right"/>
              <w:bidi/>
            </w:pPr>
            <w:r>
              <w:rPr>
                <w:sz w:val="18"/>
                <w:rFonts w:cs="Arial" w:ascii="Arial" w:hAnsi="Arial"/>
              </w:rPr>
              <w:t>num__operating_margin_period_adjusted</w:t>
            </w:r>
          </w:p>
        </w:tc>
        <w:tc>
          <w:tcPr>
            <w:tcW w:type="dxa" w:w="4320"/>
          </w:tcPr>
          <w:p>
            <w:pPr>
              <w:jc w:val="right"/>
              <w:bidi/>
            </w:pPr>
            <w:r>
              <w:rPr>
                <w:sz w:val="18"/>
                <w:rFonts w:cs="Arial" w:ascii="Arial" w:hAnsi="Arial"/>
              </w:rPr>
              <w:t>0.1277</w:t>
            </w:r>
          </w:p>
        </w:tc>
      </w:tr>
    </w:tbl>
    <w:p/>
    <w:p>
      <w:pPr>
        <w:jc w:val="right"/>
        <w:bidi/>
      </w:pPr>
      <w:r>
        <w:rPr>
          <w:b/>
          <w:color w:val="333333"/>
          <w:sz w:val="20"/>
          <w:rFonts w:cs="Arial" w:ascii="Arial" w:hAnsi="Arial"/>
        </w:rPr>
        <w:t>جدول ۶: تحلیل‌های استحکام (جدا از مدل اصلی)</w:t>
      </w:r>
    </w:p>
    <w:tbl>
      <w:tblPr>
        <w:tblStyle w:val="LightGrid-Accent1"/>
        <w:tblW w:type="auto" w:w="0"/>
        <w:jc w:val="right"/>
        <w:tblLook w:firstColumn="1" w:firstRow="1" w:lastColumn="0" w:lastRow="0" w:noHBand="0" w:noVBand="1" w:val="04A0"/>
        <w:bidiVisual/>
      </w:tblPr>
      <w:tblGrid>
        <w:gridCol w:w="1440"/>
        <w:gridCol w:w="1440"/>
        <w:gridCol w:w="1440"/>
        <w:gridCol w:w="1440"/>
        <w:gridCol w:w="1440"/>
        <w:gridCol w:w="1440"/>
      </w:tblGrid>
      <w:tr>
        <w:tc>
          <w:tcPr>
            <w:tcW w:type="dxa" w:w="1440"/>
          </w:tcPr>
          <w:p>
            <w:pPr>
              <w:jc w:val="right"/>
              <w:bidi/>
            </w:pPr>
            <w:r>
              <w:rPr>
                <w:b/>
                <w:sz w:val="18"/>
                <w:rFonts w:cs="Arial" w:ascii="Arial" w:hAnsi="Arial"/>
              </w:rPr>
              <w:t>variant</w:t>
            </w:r>
          </w:p>
        </w:tc>
        <w:tc>
          <w:tcPr>
            <w:tcW w:type="dxa" w:w="1440"/>
          </w:tcPr>
          <w:p>
            <w:pPr>
              <w:jc w:val="right"/>
              <w:bidi/>
            </w:pPr>
            <w:r>
              <w:rPr>
                <w:b/>
                <w:sz w:val="18"/>
                <w:rFonts w:cs="Arial" w:ascii="Arial" w:hAnsi="Arial"/>
              </w:rPr>
              <w:t>model</w:t>
            </w:r>
          </w:p>
        </w:tc>
        <w:tc>
          <w:tcPr>
            <w:tcW w:type="dxa" w:w="1440"/>
          </w:tcPr>
          <w:p>
            <w:pPr>
              <w:jc w:val="right"/>
              <w:bidi/>
            </w:pPr>
            <w:r>
              <w:rPr>
                <w:b/>
                <w:sz w:val="18"/>
                <w:rFonts w:cs="Arial" w:ascii="Arial" w:hAnsi="Arial"/>
              </w:rPr>
              <w:t>cv_mean_pr_auc</w:t>
            </w:r>
          </w:p>
        </w:tc>
        <w:tc>
          <w:tcPr>
            <w:tcW w:type="dxa" w:w="1440"/>
          </w:tcPr>
          <w:p>
            <w:pPr>
              <w:jc w:val="right"/>
              <w:bidi/>
            </w:pPr>
            <w:r>
              <w:rPr>
                <w:b/>
                <w:sz w:val="18"/>
                <w:rFonts w:cs="Arial" w:ascii="Arial" w:hAnsi="Arial"/>
              </w:rPr>
              <w:t>test_pr_auc</w:t>
            </w:r>
          </w:p>
        </w:tc>
        <w:tc>
          <w:tcPr>
            <w:tcW w:type="dxa" w:w="1440"/>
          </w:tcPr>
          <w:p>
            <w:pPr>
              <w:jc w:val="right"/>
              <w:bidi/>
            </w:pPr>
            <w:r>
              <w:rPr>
                <w:b/>
                <w:sz w:val="18"/>
                <w:rFonts w:cs="Arial" w:ascii="Arial" w:hAnsi="Arial"/>
              </w:rPr>
              <w:t>test_recall</w:t>
            </w:r>
          </w:p>
        </w:tc>
        <w:tc>
          <w:tcPr>
            <w:tcW w:type="dxa" w:w="1440"/>
          </w:tcPr>
          <w:p>
            <w:pPr>
              <w:jc w:val="right"/>
              <w:bidi/>
            </w:pPr>
            <w:r>
              <w:rPr>
                <w:b/>
                <w:sz w:val="18"/>
                <w:rFonts w:cs="Arial" w:ascii="Arial" w:hAnsi="Arial"/>
              </w:rPr>
              <w:t>test_f1</w:t>
            </w:r>
          </w:p>
        </w:tc>
      </w:tr>
      <w:tr>
        <w:tc>
          <w:tcPr>
            <w:tcW w:type="dxa" w:w="1440"/>
          </w:tcPr>
          <w:p>
            <w:pPr>
              <w:jc w:val="right"/>
              <w:bidi/>
            </w:pPr>
            <w:r>
              <w:rPr>
                <w:sz w:val="18"/>
                <w:rFonts w:cs="Arial" w:ascii="Arial" w:hAnsi="Arial"/>
              </w:rPr>
              <w:t>A_main</w:t>
            </w:r>
          </w:p>
        </w:tc>
        <w:tc>
          <w:tcPr>
            <w:tcW w:type="dxa" w:w="1440"/>
          </w:tcPr>
          <w:p>
            <w:pPr>
              <w:jc w:val="right"/>
              <w:bidi/>
            </w:pPr>
            <w:r>
              <w:rPr>
                <w:sz w:val="18"/>
                <w:rFonts w:cs="Arial" w:ascii="Arial" w:hAnsi="Arial"/>
              </w:rPr>
              <w:t>رگرسیون لجستیک</w:t>
            </w:r>
          </w:p>
        </w:tc>
        <w:tc>
          <w:tcPr>
            <w:tcW w:type="dxa" w:w="1440"/>
          </w:tcPr>
          <w:p>
            <w:pPr>
              <w:jc w:val="right"/>
              <w:bidi/>
            </w:pPr>
            <w:r>
              <w:rPr>
                <w:sz w:val="18"/>
                <w:rFonts w:cs="Arial" w:ascii="Arial" w:hAnsi="Arial"/>
              </w:rPr>
              <w:t>0.387</w:t>
            </w:r>
          </w:p>
        </w:tc>
        <w:tc>
          <w:tcPr>
            <w:tcW w:type="dxa" w:w="1440"/>
          </w:tcPr>
          <w:p>
            <w:pPr>
              <w:jc w:val="right"/>
              <w:bidi/>
            </w:pPr>
            <w:r>
              <w:rPr>
                <w:sz w:val="18"/>
                <w:rFonts w:cs="Arial" w:ascii="Arial" w:hAnsi="Arial"/>
              </w:rPr>
              <w:t>0.263</w:t>
            </w:r>
          </w:p>
        </w:tc>
        <w:tc>
          <w:tcPr>
            <w:tcW w:type="dxa" w:w="1440"/>
          </w:tcPr>
          <w:p>
            <w:pPr>
              <w:jc w:val="right"/>
              <w:bidi/>
            </w:pPr>
            <w:r>
              <w:rPr>
                <w:sz w:val="18"/>
                <w:rFonts w:cs="Arial" w:ascii="Arial" w:hAnsi="Arial"/>
              </w:rPr>
              <w:t>0.444</w:t>
            </w:r>
          </w:p>
        </w:tc>
        <w:tc>
          <w:tcPr>
            <w:tcW w:type="dxa" w:w="1440"/>
          </w:tcPr>
          <w:p>
            <w:pPr>
              <w:jc w:val="right"/>
              <w:bidi/>
            </w:pPr>
            <w:r>
              <w:rPr>
                <w:sz w:val="18"/>
                <w:rFonts w:cs="Arial" w:ascii="Arial" w:hAnsi="Arial"/>
              </w:rPr>
              <w:t>0.333</w:t>
            </w:r>
          </w:p>
        </w:tc>
      </w:tr>
      <w:tr>
        <w:tc>
          <w:tcPr>
            <w:tcW w:type="dxa" w:w="1440"/>
          </w:tcPr>
          <w:p>
            <w:pPr>
              <w:jc w:val="right"/>
              <w:bidi/>
            </w:pPr>
            <w:r>
              <w:rPr>
                <w:sz w:val="18"/>
                <w:rFonts w:cs="Arial" w:ascii="Arial" w:hAnsi="Arial"/>
              </w:rPr>
              <w:t>B_extended</w:t>
            </w:r>
          </w:p>
        </w:tc>
        <w:tc>
          <w:tcPr>
            <w:tcW w:type="dxa" w:w="1440"/>
          </w:tcPr>
          <w:p>
            <w:pPr>
              <w:jc w:val="right"/>
              <w:bidi/>
            </w:pPr>
            <w:r>
              <w:rPr>
                <w:sz w:val="18"/>
                <w:rFonts w:cs="Arial" w:ascii="Arial" w:hAnsi="Arial"/>
              </w:rPr>
              <w:t>رگرسیون لجستیک</w:t>
            </w:r>
          </w:p>
        </w:tc>
        <w:tc>
          <w:tcPr>
            <w:tcW w:type="dxa" w:w="1440"/>
          </w:tcPr>
          <w:p>
            <w:pPr>
              <w:jc w:val="right"/>
              <w:bidi/>
            </w:pPr>
            <w:r>
              <w:rPr>
                <w:sz w:val="18"/>
                <w:rFonts w:cs="Arial" w:ascii="Arial" w:hAnsi="Arial"/>
              </w:rPr>
              <w:t>0.536</w:t>
            </w:r>
          </w:p>
        </w:tc>
        <w:tc>
          <w:tcPr>
            <w:tcW w:type="dxa" w:w="1440"/>
          </w:tcPr>
          <w:p>
            <w:pPr>
              <w:jc w:val="right"/>
              <w:bidi/>
            </w:pPr>
            <w:r>
              <w:rPr>
                <w:sz w:val="18"/>
                <w:rFonts w:cs="Arial" w:ascii="Arial" w:hAnsi="Arial"/>
              </w:rPr>
              <w:t>0.393</w:t>
            </w:r>
          </w:p>
        </w:tc>
        <w:tc>
          <w:tcPr>
            <w:tcW w:type="dxa" w:w="1440"/>
          </w:tcPr>
          <w:p>
            <w:pPr>
              <w:jc w:val="right"/>
              <w:bidi/>
            </w:pPr>
            <w:r>
              <w:rPr>
                <w:sz w:val="18"/>
                <w:rFonts w:cs="Arial" w:ascii="Arial" w:hAnsi="Arial"/>
              </w:rPr>
              <w:t>0.778</w:t>
            </w:r>
          </w:p>
        </w:tc>
        <w:tc>
          <w:tcPr>
            <w:tcW w:type="dxa" w:w="1440"/>
          </w:tcPr>
          <w:p>
            <w:pPr>
              <w:jc w:val="right"/>
              <w:bidi/>
            </w:pPr>
            <w:r>
              <w:rPr>
                <w:sz w:val="18"/>
                <w:rFonts w:cs="Arial" w:ascii="Arial" w:hAnsi="Arial"/>
              </w:rPr>
              <w:t>0.412</w:t>
            </w:r>
          </w:p>
        </w:tc>
      </w:tr>
      <w:tr>
        <w:tc>
          <w:tcPr>
            <w:tcW w:type="dxa" w:w="1440"/>
          </w:tcPr>
          <w:p>
            <w:pPr>
              <w:jc w:val="right"/>
              <w:bidi/>
            </w:pPr>
            <w:r>
              <w:rPr>
                <w:sz w:val="18"/>
                <w:rFonts w:cs="Arial" w:ascii="Arial" w:hAnsi="Arial"/>
              </w:rPr>
              <w:t>A_winsorized</w:t>
            </w:r>
          </w:p>
        </w:tc>
        <w:tc>
          <w:tcPr>
            <w:tcW w:type="dxa" w:w="1440"/>
          </w:tcPr>
          <w:p>
            <w:pPr>
              <w:jc w:val="right"/>
              <w:bidi/>
            </w:pPr>
            <w:r>
              <w:rPr>
                <w:sz w:val="18"/>
                <w:rFonts w:cs="Arial" w:ascii="Arial" w:hAnsi="Arial"/>
              </w:rPr>
              <w:t>رگرسیون لجستیک</w:t>
            </w:r>
          </w:p>
        </w:tc>
        <w:tc>
          <w:tcPr>
            <w:tcW w:type="dxa" w:w="1440"/>
          </w:tcPr>
          <w:p>
            <w:pPr>
              <w:jc w:val="right"/>
              <w:bidi/>
            </w:pPr>
            <w:r>
              <w:rPr>
                <w:sz w:val="18"/>
                <w:rFonts w:cs="Arial" w:ascii="Arial" w:hAnsi="Arial"/>
              </w:rPr>
              <w:t>0.355</w:t>
            </w:r>
          </w:p>
        </w:tc>
        <w:tc>
          <w:tcPr>
            <w:tcW w:type="dxa" w:w="1440"/>
          </w:tcPr>
          <w:p>
            <w:pPr>
              <w:jc w:val="right"/>
              <w:bidi/>
            </w:pPr>
            <w:r>
              <w:rPr>
                <w:sz w:val="18"/>
                <w:rFonts w:cs="Arial" w:ascii="Arial" w:hAnsi="Arial"/>
              </w:rPr>
              <w:t>0.264</w:t>
            </w:r>
          </w:p>
        </w:tc>
        <w:tc>
          <w:tcPr>
            <w:tcW w:type="dxa" w:w="1440"/>
          </w:tcPr>
          <w:p>
            <w:pPr>
              <w:jc w:val="right"/>
              <w:bidi/>
            </w:pPr>
            <w:r>
              <w:rPr>
                <w:sz w:val="18"/>
                <w:rFonts w:cs="Arial" w:ascii="Arial" w:hAnsi="Arial"/>
              </w:rPr>
              <w:t>0.333</w:t>
            </w:r>
          </w:p>
        </w:tc>
        <w:tc>
          <w:tcPr>
            <w:tcW w:type="dxa" w:w="1440"/>
          </w:tcPr>
          <w:p>
            <w:pPr>
              <w:jc w:val="right"/>
              <w:bidi/>
            </w:pPr>
            <w:r>
              <w:rPr>
                <w:sz w:val="18"/>
                <w:rFonts w:cs="Arial" w:ascii="Arial" w:hAnsi="Arial"/>
              </w:rPr>
              <w:t>0.316</w:t>
            </w:r>
          </w:p>
        </w:tc>
      </w:tr>
      <w:tr>
        <w:tc>
          <w:tcPr>
            <w:tcW w:type="dxa" w:w="1440"/>
          </w:tcPr>
          <w:p>
            <w:pPr>
              <w:jc w:val="right"/>
              <w:bidi/>
            </w:pPr>
            <w:r>
              <w:rPr>
                <w:sz w:val="18"/>
                <w:rFonts w:cs="Arial" w:ascii="Arial" w:hAnsi="Arial"/>
              </w:rPr>
              <w:t>A_smote</w:t>
            </w:r>
          </w:p>
        </w:tc>
        <w:tc>
          <w:tcPr>
            <w:tcW w:type="dxa" w:w="1440"/>
          </w:tcPr>
          <w:p>
            <w:pPr>
              <w:jc w:val="right"/>
              <w:bidi/>
            </w:pPr>
            <w:r>
              <w:rPr>
                <w:sz w:val="18"/>
                <w:rFonts w:cs="Arial" w:ascii="Arial" w:hAnsi="Arial"/>
              </w:rPr>
              <w:t>رگرسیون لجستیک</w:t>
            </w:r>
          </w:p>
        </w:tc>
        <w:tc>
          <w:tcPr>
            <w:tcW w:type="dxa" w:w="1440"/>
          </w:tcPr>
          <w:p>
            <w:pPr>
              <w:jc w:val="right"/>
              <w:bidi/>
            </w:pPr>
            <w:r>
              <w:rPr>
                <w:sz w:val="18"/>
                <w:rFonts w:cs="Arial" w:ascii="Arial" w:hAnsi="Arial"/>
              </w:rPr>
              <w:t>0.366</w:t>
            </w:r>
          </w:p>
        </w:tc>
        <w:tc>
          <w:tcPr>
            <w:tcW w:type="dxa" w:w="1440"/>
          </w:tcPr>
          <w:p>
            <w:pPr>
              <w:jc w:val="right"/>
              <w:bidi/>
            </w:pPr>
            <w:r>
              <w:rPr>
                <w:sz w:val="18"/>
                <w:rFonts w:cs="Arial" w:ascii="Arial" w:hAnsi="Arial"/>
              </w:rPr>
              <w:t>0.265</w:t>
            </w:r>
          </w:p>
        </w:tc>
        <w:tc>
          <w:tcPr>
            <w:tcW w:type="dxa" w:w="1440"/>
          </w:tcPr>
          <w:p>
            <w:pPr>
              <w:jc w:val="right"/>
              <w:bidi/>
            </w:pPr>
            <w:r>
              <w:rPr>
                <w:sz w:val="18"/>
                <w:rFonts w:cs="Arial" w:ascii="Arial" w:hAnsi="Arial"/>
              </w:rPr>
              <w:t>0.444</w:t>
            </w:r>
          </w:p>
        </w:tc>
        <w:tc>
          <w:tcPr>
            <w:tcW w:type="dxa" w:w="1440"/>
          </w:tcPr>
          <w:p>
            <w:pPr>
              <w:jc w:val="right"/>
              <w:bidi/>
            </w:pPr>
            <w:r>
              <w:rPr>
                <w:sz w:val="18"/>
                <w:rFonts w:cs="Arial" w:ascii="Arial" w:hAnsi="Arial"/>
              </w:rPr>
              <w:t>0.32</w:t>
            </w:r>
          </w:p>
        </w:tc>
      </w:tr>
      <w:tr>
        <w:tc>
          <w:tcPr>
            <w:tcW w:type="dxa" w:w="1440"/>
          </w:tcPr>
          <w:p>
            <w:pPr>
              <w:jc w:val="right"/>
              <w:bidi/>
            </w:pPr>
            <w:r>
              <w:rPr>
                <w:sz w:val="18"/>
                <w:rFonts w:cs="Arial" w:ascii="Arial" w:hAnsi="Arial"/>
              </w:rPr>
              <w:t>B_drop_near_definition</w:t>
            </w:r>
          </w:p>
        </w:tc>
        <w:tc>
          <w:tcPr>
            <w:tcW w:type="dxa" w:w="1440"/>
          </w:tcPr>
          <w:p>
            <w:pPr>
              <w:jc w:val="right"/>
              <w:bidi/>
            </w:pPr>
            <w:r>
              <w:rPr>
                <w:sz w:val="18"/>
                <w:rFonts w:cs="Arial" w:ascii="Arial" w:hAnsi="Arial"/>
              </w:rPr>
              <w:t>رگرسیون لجستیک</w:t>
            </w:r>
          </w:p>
        </w:tc>
        <w:tc>
          <w:tcPr>
            <w:tcW w:type="dxa" w:w="1440"/>
          </w:tcPr>
          <w:p>
            <w:pPr>
              <w:jc w:val="right"/>
              <w:bidi/>
            </w:pPr>
            <w:r>
              <w:rPr>
                <w:sz w:val="18"/>
                <w:rFonts w:cs="Arial" w:ascii="Arial" w:hAnsi="Arial"/>
              </w:rPr>
              <w:t>0.348</w:t>
            </w:r>
          </w:p>
        </w:tc>
        <w:tc>
          <w:tcPr>
            <w:tcW w:type="dxa" w:w="1440"/>
          </w:tcPr>
          <w:p>
            <w:pPr>
              <w:jc w:val="right"/>
              <w:bidi/>
            </w:pPr>
            <w:r>
              <w:rPr>
                <w:sz w:val="18"/>
                <w:rFonts w:cs="Arial" w:ascii="Arial" w:hAnsi="Arial"/>
              </w:rPr>
              <w:t>0.377</w:t>
            </w:r>
          </w:p>
        </w:tc>
        <w:tc>
          <w:tcPr>
            <w:tcW w:type="dxa" w:w="1440"/>
          </w:tcPr>
          <w:p>
            <w:pPr>
              <w:jc w:val="right"/>
              <w:bidi/>
            </w:pPr>
            <w:r>
              <w:rPr>
                <w:sz w:val="18"/>
                <w:rFonts w:cs="Arial" w:ascii="Arial" w:hAnsi="Arial"/>
              </w:rPr>
              <w:t>0.667</w:t>
            </w:r>
          </w:p>
        </w:tc>
        <w:tc>
          <w:tcPr>
            <w:tcW w:type="dxa" w:w="1440"/>
          </w:tcPr>
          <w:p>
            <w:pPr>
              <w:jc w:val="right"/>
              <w:bidi/>
            </w:pPr>
            <w:r>
              <w:rPr>
                <w:sz w:val="18"/>
                <w:rFonts w:cs="Arial" w:ascii="Arial" w:hAnsi="Arial"/>
              </w:rPr>
              <w:t>0.387</w:t>
            </w:r>
          </w:p>
        </w:tc>
      </w:tr>
      <w:tr>
        <w:tc>
          <w:tcPr>
            <w:tcW w:type="dxa" w:w="1440"/>
          </w:tcPr>
          <w:p>
            <w:pPr>
              <w:jc w:val="right"/>
              <w:bidi/>
            </w:pPr>
            <w:r>
              <w:rPr>
                <w:sz w:val="18"/>
                <w:rFonts w:cs="Arial" w:ascii="Arial" w:hAnsi="Arial"/>
              </w:rPr>
              <w:t>same_year_classification</w:t>
            </w:r>
          </w:p>
        </w:tc>
        <w:tc>
          <w:tcPr>
            <w:tcW w:type="dxa" w:w="1440"/>
          </w:tcPr>
          <w:p>
            <w:pPr>
              <w:jc w:val="right"/>
              <w:bidi/>
            </w:pPr>
            <w:r>
              <w:rPr>
                <w:sz w:val="18"/>
                <w:rFonts w:cs="Arial" w:ascii="Arial" w:hAnsi="Arial"/>
              </w:rPr>
              <w:t>رگرسیون لجستیک</w:t>
            </w:r>
          </w:p>
        </w:tc>
        <w:tc>
          <w:tcPr>
            <w:tcW w:type="dxa" w:w="1440"/>
          </w:tcPr>
          <w:p>
            <w:pPr>
              <w:jc w:val="right"/>
              <w:bidi/>
            </w:pPr>
            <w:r>
              <w:rPr>
                <w:sz w:val="18"/>
                <w:rFonts w:cs="Arial" w:ascii="Arial" w:hAnsi="Arial"/>
              </w:rPr>
              <w:t>0.48</w:t>
            </w:r>
          </w:p>
        </w:tc>
        <w:tc>
          <w:tcPr>
            <w:tcW w:type="dxa" w:w="1440"/>
          </w:tcPr>
          <w:p>
            <w:pPr>
              <w:jc w:val="right"/>
              <w:bidi/>
            </w:pPr>
            <w:r>
              <w:rPr>
                <w:sz w:val="18"/>
                <w:rFonts w:cs="Arial" w:ascii="Arial" w:hAnsi="Arial"/>
              </w:rPr>
              <w:t>0.277</w:t>
            </w:r>
          </w:p>
        </w:tc>
        <w:tc>
          <w:tcPr>
            <w:tcW w:type="dxa" w:w="1440"/>
          </w:tcPr>
          <w:p>
            <w:pPr>
              <w:jc w:val="right"/>
              <w:bidi/>
            </w:pPr>
            <w:r>
              <w:rPr>
                <w:sz w:val="18"/>
                <w:rFonts w:cs="Arial" w:ascii="Arial" w:hAnsi="Arial"/>
              </w:rPr>
              <w:t>0.556</w:t>
            </w:r>
          </w:p>
        </w:tc>
        <w:tc>
          <w:tcPr>
            <w:tcW w:type="dxa" w:w="1440"/>
          </w:tcPr>
          <w:p>
            <w:pPr>
              <w:jc w:val="right"/>
              <w:bidi/>
            </w:pPr>
            <w:r>
              <w:rPr>
                <w:sz w:val="18"/>
                <w:rFonts w:cs="Arial" w:ascii="Arial" w:hAnsi="Arial"/>
              </w:rPr>
              <w:t>0.5</w:t>
            </w:r>
          </w:p>
        </w:tc>
      </w:tr>
      <w:tr>
        <w:tc>
          <w:tcPr>
            <w:tcW w:type="dxa" w:w="1440"/>
          </w:tcPr>
          <w:p>
            <w:pPr>
              <w:jc w:val="right"/>
              <w:bidi/>
            </w:pPr>
            <w:r>
              <w:rPr>
                <w:sz w:val="18"/>
                <w:rFonts w:cs="Arial" w:ascii="Arial" w:hAnsi="Arial"/>
              </w:rPr>
              <w:t>A_main</w:t>
            </w:r>
          </w:p>
        </w:tc>
        <w:tc>
          <w:tcPr>
            <w:tcW w:type="dxa" w:w="1440"/>
          </w:tcPr>
          <w:p>
            <w:pPr>
              <w:jc w:val="right"/>
              <w:bidi/>
            </w:pPr>
            <w:r>
              <w:rPr>
                <w:sz w:val="18"/>
                <w:rFonts w:cs="Arial" w:ascii="Arial" w:hAnsi="Arial"/>
              </w:rPr>
              <w:t>XGBoost</w:t>
            </w:r>
          </w:p>
        </w:tc>
        <w:tc>
          <w:tcPr>
            <w:tcW w:type="dxa" w:w="1440"/>
          </w:tcPr>
          <w:p>
            <w:pPr>
              <w:jc w:val="right"/>
              <w:bidi/>
            </w:pPr>
            <w:r>
              <w:rPr>
                <w:sz w:val="18"/>
                <w:rFonts w:cs="Arial" w:ascii="Arial" w:hAnsi="Arial"/>
              </w:rPr>
              <w:t>0.501</w:t>
            </w:r>
          </w:p>
        </w:tc>
        <w:tc>
          <w:tcPr>
            <w:tcW w:type="dxa" w:w="1440"/>
          </w:tcPr>
          <w:p>
            <w:pPr>
              <w:jc w:val="right"/>
              <w:bidi/>
            </w:pPr>
            <w:r>
              <w:rPr>
                <w:sz w:val="18"/>
                <w:rFonts w:cs="Arial" w:ascii="Arial" w:hAnsi="Arial"/>
              </w:rPr>
              <w:t>0.628</w:t>
            </w:r>
          </w:p>
        </w:tc>
        <w:tc>
          <w:tcPr>
            <w:tcW w:type="dxa" w:w="1440"/>
          </w:tcPr>
          <w:p>
            <w:pPr>
              <w:jc w:val="right"/>
              <w:bidi/>
            </w:pPr>
            <w:r>
              <w:rPr>
                <w:sz w:val="18"/>
                <w:rFonts w:cs="Arial" w:ascii="Arial" w:hAnsi="Arial"/>
              </w:rPr>
              <w:t>0.667</w:t>
            </w:r>
          </w:p>
        </w:tc>
        <w:tc>
          <w:tcPr>
            <w:tcW w:type="dxa" w:w="1440"/>
          </w:tcPr>
          <w:p>
            <w:pPr>
              <w:jc w:val="right"/>
              <w:bidi/>
            </w:pPr>
            <w:r>
              <w:rPr>
                <w:sz w:val="18"/>
                <w:rFonts w:cs="Arial" w:ascii="Arial" w:hAnsi="Arial"/>
              </w:rPr>
              <w:t>0.571</w:t>
            </w:r>
          </w:p>
        </w:tc>
      </w:tr>
      <w:tr>
        <w:tc>
          <w:tcPr>
            <w:tcW w:type="dxa" w:w="1440"/>
          </w:tcPr>
          <w:p>
            <w:pPr>
              <w:jc w:val="right"/>
              <w:bidi/>
            </w:pPr>
            <w:r>
              <w:rPr>
                <w:sz w:val="18"/>
                <w:rFonts w:cs="Arial" w:ascii="Arial" w:hAnsi="Arial"/>
              </w:rPr>
              <w:t>B_extended</w:t>
            </w:r>
          </w:p>
        </w:tc>
        <w:tc>
          <w:tcPr>
            <w:tcW w:type="dxa" w:w="1440"/>
          </w:tcPr>
          <w:p>
            <w:pPr>
              <w:jc w:val="right"/>
              <w:bidi/>
            </w:pPr>
            <w:r>
              <w:rPr>
                <w:sz w:val="18"/>
                <w:rFonts w:cs="Arial" w:ascii="Arial" w:hAnsi="Arial"/>
              </w:rPr>
              <w:t>XGBoost</w:t>
            </w:r>
          </w:p>
        </w:tc>
        <w:tc>
          <w:tcPr>
            <w:tcW w:type="dxa" w:w="1440"/>
          </w:tcPr>
          <w:p>
            <w:pPr>
              <w:jc w:val="right"/>
              <w:bidi/>
            </w:pPr>
            <w:r>
              <w:rPr>
                <w:sz w:val="18"/>
                <w:rFonts w:cs="Arial" w:ascii="Arial" w:hAnsi="Arial"/>
              </w:rPr>
              <w:t>0.47</w:t>
            </w:r>
          </w:p>
        </w:tc>
        <w:tc>
          <w:tcPr>
            <w:tcW w:type="dxa" w:w="1440"/>
          </w:tcPr>
          <w:p>
            <w:pPr>
              <w:jc w:val="right"/>
              <w:bidi/>
            </w:pPr>
            <w:r>
              <w:rPr>
                <w:sz w:val="18"/>
                <w:rFonts w:cs="Arial" w:ascii="Arial" w:hAnsi="Arial"/>
              </w:rPr>
              <w:t>0.582</w:t>
            </w:r>
          </w:p>
        </w:tc>
        <w:tc>
          <w:tcPr>
            <w:tcW w:type="dxa" w:w="1440"/>
          </w:tcPr>
          <w:p>
            <w:pPr>
              <w:jc w:val="right"/>
              <w:bidi/>
            </w:pPr>
            <w:r>
              <w:rPr>
                <w:sz w:val="18"/>
                <w:rFonts w:cs="Arial" w:ascii="Arial" w:hAnsi="Arial"/>
              </w:rPr>
              <w:t>0.889</w:t>
            </w:r>
          </w:p>
        </w:tc>
        <w:tc>
          <w:tcPr>
            <w:tcW w:type="dxa" w:w="1440"/>
          </w:tcPr>
          <w:p>
            <w:pPr>
              <w:jc w:val="right"/>
              <w:bidi/>
            </w:pPr>
            <w:r>
              <w:rPr>
                <w:sz w:val="18"/>
                <w:rFonts w:cs="Arial" w:ascii="Arial" w:hAnsi="Arial"/>
              </w:rPr>
              <w:t>0.4</w:t>
            </w:r>
          </w:p>
        </w:tc>
      </w:tr>
      <w:tr>
        <w:tc>
          <w:tcPr>
            <w:tcW w:type="dxa" w:w="1440"/>
          </w:tcPr>
          <w:p>
            <w:pPr>
              <w:jc w:val="right"/>
              <w:bidi/>
            </w:pPr>
            <w:r>
              <w:rPr>
                <w:sz w:val="18"/>
                <w:rFonts w:cs="Arial" w:ascii="Arial" w:hAnsi="Arial"/>
              </w:rPr>
              <w:t>A_winsorized</w:t>
            </w:r>
          </w:p>
        </w:tc>
        <w:tc>
          <w:tcPr>
            <w:tcW w:type="dxa" w:w="1440"/>
          </w:tcPr>
          <w:p>
            <w:pPr>
              <w:jc w:val="right"/>
              <w:bidi/>
            </w:pPr>
            <w:r>
              <w:rPr>
                <w:sz w:val="18"/>
                <w:rFonts w:cs="Arial" w:ascii="Arial" w:hAnsi="Arial"/>
              </w:rPr>
              <w:t>XGBoost</w:t>
            </w:r>
          </w:p>
        </w:tc>
        <w:tc>
          <w:tcPr>
            <w:tcW w:type="dxa" w:w="1440"/>
          </w:tcPr>
          <w:p>
            <w:pPr>
              <w:jc w:val="right"/>
              <w:bidi/>
            </w:pPr>
            <w:r>
              <w:rPr>
                <w:sz w:val="18"/>
                <w:rFonts w:cs="Arial" w:ascii="Arial" w:hAnsi="Arial"/>
              </w:rPr>
              <w:t>0.487</w:t>
            </w:r>
          </w:p>
        </w:tc>
        <w:tc>
          <w:tcPr>
            <w:tcW w:type="dxa" w:w="1440"/>
          </w:tcPr>
          <w:p>
            <w:pPr>
              <w:jc w:val="right"/>
              <w:bidi/>
            </w:pPr>
            <w:r>
              <w:rPr>
                <w:sz w:val="18"/>
                <w:rFonts w:cs="Arial" w:ascii="Arial" w:hAnsi="Arial"/>
              </w:rPr>
              <w:t>0.636</w:t>
            </w:r>
          </w:p>
        </w:tc>
        <w:tc>
          <w:tcPr>
            <w:tcW w:type="dxa" w:w="1440"/>
          </w:tcPr>
          <w:p>
            <w:pPr>
              <w:jc w:val="right"/>
              <w:bidi/>
            </w:pPr>
            <w:r>
              <w:rPr>
                <w:sz w:val="18"/>
                <w:rFonts w:cs="Arial" w:ascii="Arial" w:hAnsi="Arial"/>
              </w:rPr>
              <w:t>0.667</w:t>
            </w:r>
          </w:p>
        </w:tc>
        <w:tc>
          <w:tcPr>
            <w:tcW w:type="dxa" w:w="1440"/>
          </w:tcPr>
          <w:p>
            <w:pPr>
              <w:jc w:val="right"/>
              <w:bidi/>
            </w:pPr>
            <w:r>
              <w:rPr>
                <w:sz w:val="18"/>
                <w:rFonts w:cs="Arial" w:ascii="Arial" w:hAnsi="Arial"/>
              </w:rPr>
              <w:t>0.571</w:t>
            </w:r>
          </w:p>
        </w:tc>
      </w:tr>
      <w:tr>
        <w:tc>
          <w:tcPr>
            <w:tcW w:type="dxa" w:w="1440"/>
          </w:tcPr>
          <w:p>
            <w:pPr>
              <w:jc w:val="right"/>
              <w:bidi/>
            </w:pPr>
            <w:r>
              <w:rPr>
                <w:sz w:val="18"/>
                <w:rFonts w:cs="Arial" w:ascii="Arial" w:hAnsi="Arial"/>
              </w:rPr>
              <w:t>A_smote</w:t>
            </w:r>
          </w:p>
        </w:tc>
        <w:tc>
          <w:tcPr>
            <w:tcW w:type="dxa" w:w="1440"/>
          </w:tcPr>
          <w:p>
            <w:pPr>
              <w:jc w:val="right"/>
              <w:bidi/>
            </w:pPr>
            <w:r>
              <w:rPr>
                <w:sz w:val="18"/>
                <w:rFonts w:cs="Arial" w:ascii="Arial" w:hAnsi="Arial"/>
              </w:rPr>
              <w:t>XGBoost</w:t>
            </w:r>
          </w:p>
        </w:tc>
        <w:tc>
          <w:tcPr>
            <w:tcW w:type="dxa" w:w="1440"/>
          </w:tcPr>
          <w:p>
            <w:pPr>
              <w:jc w:val="right"/>
              <w:bidi/>
            </w:pPr>
            <w:r>
              <w:rPr>
                <w:sz w:val="18"/>
                <w:rFonts w:cs="Arial" w:ascii="Arial" w:hAnsi="Arial"/>
              </w:rPr>
              <w:t>0.387</w:t>
            </w:r>
          </w:p>
        </w:tc>
        <w:tc>
          <w:tcPr>
            <w:tcW w:type="dxa" w:w="1440"/>
          </w:tcPr>
          <w:p>
            <w:pPr>
              <w:jc w:val="right"/>
              <w:bidi/>
            </w:pPr>
            <w:r>
              <w:rPr>
                <w:sz w:val="18"/>
                <w:rFonts w:cs="Arial" w:ascii="Arial" w:hAnsi="Arial"/>
              </w:rPr>
              <w:t>0.495</w:t>
            </w:r>
          </w:p>
        </w:tc>
        <w:tc>
          <w:tcPr>
            <w:tcW w:type="dxa" w:w="1440"/>
          </w:tcPr>
          <w:p>
            <w:pPr>
              <w:jc w:val="right"/>
              <w:bidi/>
            </w:pPr>
            <w:r>
              <w:rPr>
                <w:sz w:val="18"/>
                <w:rFonts w:cs="Arial" w:ascii="Arial" w:hAnsi="Arial"/>
              </w:rPr>
              <w:t>0.889</w:t>
            </w:r>
          </w:p>
        </w:tc>
        <w:tc>
          <w:tcPr>
            <w:tcW w:type="dxa" w:w="1440"/>
          </w:tcPr>
          <w:p>
            <w:pPr>
              <w:jc w:val="right"/>
              <w:bidi/>
            </w:pPr>
            <w:r>
              <w:rPr>
                <w:sz w:val="18"/>
                <w:rFonts w:cs="Arial" w:ascii="Arial" w:hAnsi="Arial"/>
              </w:rPr>
              <w:t>0.485</w:t>
            </w:r>
          </w:p>
        </w:tc>
      </w:tr>
      <w:tr>
        <w:tc>
          <w:tcPr>
            <w:tcW w:type="dxa" w:w="1440"/>
          </w:tcPr>
          <w:p>
            <w:pPr>
              <w:jc w:val="right"/>
              <w:bidi/>
            </w:pPr>
            <w:r>
              <w:rPr>
                <w:sz w:val="18"/>
                <w:rFonts w:cs="Arial" w:ascii="Arial" w:hAnsi="Arial"/>
              </w:rPr>
              <w:t>B_drop_near_definition</w:t>
            </w:r>
          </w:p>
        </w:tc>
        <w:tc>
          <w:tcPr>
            <w:tcW w:type="dxa" w:w="1440"/>
          </w:tcPr>
          <w:p>
            <w:pPr>
              <w:jc w:val="right"/>
              <w:bidi/>
            </w:pPr>
            <w:r>
              <w:rPr>
                <w:sz w:val="18"/>
                <w:rFonts w:cs="Arial" w:ascii="Arial" w:hAnsi="Arial"/>
              </w:rPr>
              <w:t>XGBoost</w:t>
            </w:r>
          </w:p>
        </w:tc>
        <w:tc>
          <w:tcPr>
            <w:tcW w:type="dxa" w:w="1440"/>
          </w:tcPr>
          <w:p>
            <w:pPr>
              <w:jc w:val="right"/>
              <w:bidi/>
            </w:pPr>
            <w:r>
              <w:rPr>
                <w:sz w:val="18"/>
                <w:rFonts w:cs="Arial" w:ascii="Arial" w:hAnsi="Arial"/>
              </w:rPr>
              <w:t>0.412</w:t>
            </w:r>
          </w:p>
        </w:tc>
        <w:tc>
          <w:tcPr>
            <w:tcW w:type="dxa" w:w="1440"/>
          </w:tcPr>
          <w:p>
            <w:pPr>
              <w:jc w:val="right"/>
              <w:bidi/>
            </w:pPr>
            <w:r>
              <w:rPr>
                <w:sz w:val="18"/>
                <w:rFonts w:cs="Arial" w:ascii="Arial" w:hAnsi="Arial"/>
              </w:rPr>
              <w:t>0.684</w:t>
            </w:r>
          </w:p>
        </w:tc>
        <w:tc>
          <w:tcPr>
            <w:tcW w:type="dxa" w:w="1440"/>
          </w:tcPr>
          <w:p>
            <w:pPr>
              <w:jc w:val="right"/>
              <w:bidi/>
            </w:pPr>
            <w:r>
              <w:rPr>
                <w:sz w:val="18"/>
                <w:rFonts w:cs="Arial" w:ascii="Arial" w:hAnsi="Arial"/>
              </w:rPr>
              <w:t>0.667</w:t>
            </w:r>
          </w:p>
        </w:tc>
        <w:tc>
          <w:tcPr>
            <w:tcW w:type="dxa" w:w="1440"/>
          </w:tcPr>
          <w:p>
            <w:pPr>
              <w:jc w:val="right"/>
              <w:bidi/>
            </w:pPr>
            <w:r>
              <w:rPr>
                <w:sz w:val="18"/>
                <w:rFonts w:cs="Arial" w:ascii="Arial" w:hAnsi="Arial"/>
              </w:rPr>
              <w:t>0.6</w:t>
            </w:r>
          </w:p>
        </w:tc>
      </w:tr>
      <w:tr>
        <w:tc>
          <w:tcPr>
            <w:tcW w:type="dxa" w:w="1440"/>
          </w:tcPr>
          <w:p>
            <w:pPr>
              <w:jc w:val="right"/>
              <w:bidi/>
            </w:pPr>
            <w:r>
              <w:rPr>
                <w:sz w:val="18"/>
                <w:rFonts w:cs="Arial" w:ascii="Arial" w:hAnsi="Arial"/>
              </w:rPr>
              <w:t>same_year_classification</w:t>
            </w:r>
          </w:p>
        </w:tc>
        <w:tc>
          <w:tcPr>
            <w:tcW w:type="dxa" w:w="1440"/>
          </w:tcPr>
          <w:p>
            <w:pPr>
              <w:jc w:val="right"/>
              <w:bidi/>
            </w:pPr>
            <w:r>
              <w:rPr>
                <w:sz w:val="18"/>
                <w:rFonts w:cs="Arial" w:ascii="Arial" w:hAnsi="Arial"/>
              </w:rPr>
              <w:t>XGBoost</w:t>
            </w:r>
          </w:p>
        </w:tc>
        <w:tc>
          <w:tcPr>
            <w:tcW w:type="dxa" w:w="1440"/>
          </w:tcPr>
          <w:p>
            <w:pPr>
              <w:jc w:val="right"/>
              <w:bidi/>
            </w:pPr>
            <w:r>
              <w:rPr>
                <w:sz w:val="18"/>
                <w:rFonts w:cs="Arial" w:ascii="Arial" w:hAnsi="Arial"/>
              </w:rPr>
              <w:t>0.658</w:t>
            </w:r>
          </w:p>
        </w:tc>
        <w:tc>
          <w:tcPr>
            <w:tcW w:type="dxa" w:w="1440"/>
          </w:tcPr>
          <w:p>
            <w:pPr>
              <w:jc w:val="right"/>
              <w:bidi/>
            </w:pPr>
            <w:r>
              <w:rPr>
                <w:sz w:val="18"/>
                <w:rFonts w:cs="Arial" w:ascii="Arial" w:hAnsi="Arial"/>
              </w:rPr>
              <w:t>0.564</w:t>
            </w:r>
          </w:p>
        </w:tc>
        <w:tc>
          <w:tcPr>
            <w:tcW w:type="dxa" w:w="1440"/>
          </w:tcPr>
          <w:p>
            <w:pPr>
              <w:jc w:val="right"/>
              <w:bidi/>
            </w:pPr>
            <w:r>
              <w:rPr>
                <w:sz w:val="18"/>
                <w:rFonts w:cs="Arial" w:ascii="Arial" w:hAnsi="Arial"/>
              </w:rPr>
              <w:t>0.667</w:t>
            </w:r>
          </w:p>
        </w:tc>
        <w:tc>
          <w:tcPr>
            <w:tcW w:type="dxa" w:w="1440"/>
          </w:tcPr>
          <w:p>
            <w:pPr>
              <w:jc w:val="right"/>
              <w:bidi/>
            </w:pPr>
            <w:r>
              <w:rPr>
                <w:sz w:val="18"/>
                <w:rFonts w:cs="Arial" w:ascii="Arial" w:hAnsi="Arial"/>
              </w:rPr>
              <w:t>0.462</w:t>
            </w:r>
          </w:p>
        </w:tc>
      </w:tr>
    </w:tbl>
    <w:p/>
    <w:p>
      <w:pPr>
        <w:jc w:val="right"/>
        <w:bidi/>
      </w:pPr>
      <w:r>
        <w:rPr>
          <w:b w:val="0"/>
          <w:sz w:val="22"/>
          <w:rFonts w:cs="Arial" w:ascii="Arial" w:hAnsi="Arial"/>
        </w:rPr>
        <w:t>تحلیل‌های استحکام شامل مقایسهٔ مجموعهٔ ویژگی اصلی با مجموعهٔ توسعه‌یافته، اجرای winsorization، جایگزینی وزن‌دهی کلاس با بیش‌نمونه‌گیری SMOTE، حذف متغیرهای نزدیک به تعریف درماندگی و مقایسه با طبقه‌بندی هم‌سال (که پیش‌بینی آینده نیست) بود. نتایج، ترتیب کلی برتری مدل‌ها را تأیید کرد و جایگزین مدل اصلی نیست.</w:t>
      </w:r>
    </w:p>
    <w:p>
      <w:pPr>
        <w:jc w:val="right"/>
        <w:bidi/>
      </w:pPr>
      <w:r>
        <w:rPr>
          <w:b/>
          <w:color w:val="1A3B6E"/>
          <w:sz w:val="28"/>
          <w:rFonts w:cs="Arial" w:ascii="Arial" w:hAnsi="Arial"/>
        </w:rPr>
        <w:t>۵. بحث</w:t>
      </w:r>
    </w:p>
    <w:p>
      <w:pPr>
        <w:jc w:val="right"/>
        <w:bidi/>
      </w:pPr>
      <w:r>
        <w:rPr>
          <w:b w:val="0"/>
          <w:sz w:val="22"/>
          <w:rFonts w:cs="Arial" w:ascii="Arial" w:hAnsi="Arial"/>
        </w:rPr>
        <w:t>برتری XGBoost با ماهیت غیرخطی و تعاملی روابط میان نسبت‌های مالی سازگار است. تحلیل SHAP نشان داد نسبت اهرمی مهم‌ترین عامل افزایش ریسک درماندگی است؛ این یافته با ادبیات نظری همسوست، زیرا اتکای بالا به بدهی توان بازپرداخت تعهدات را در شرایط نامساعد کاهش می‌دهد. اندازهٔ شرکت (لگاریتم دارایی) و حاشیهٔ سود خالص نیز نقش حفاظتی داشتند. کالیبراسیون احتمال‌ها با مقیاس‌بندی پلَت و ایزوتونیک بهبود یافت، که برای کاربردهای تصمیم‌گیری مبتنی بر آستانه اهمیت دارد.</w:t>
      </w:r>
    </w:p>
    <w:p>
      <w:pPr>
        <w:jc w:val="right"/>
        <w:bidi/>
      </w:pPr>
      <w:r>
        <w:rPr>
          <w:b/>
          <w:color w:val="1A3B6E"/>
          <w:sz w:val="28"/>
          <w:rFonts w:cs="Arial" w:ascii="Arial" w:hAnsi="Arial"/>
        </w:rPr>
        <w:t>۶. محدودیت‌ها</w:t>
      </w:r>
    </w:p>
    <w:p>
      <w:pPr>
        <w:jc w:val="right"/>
        <w:bidi/>
      </w:pPr>
      <w:r>
        <w:rPr>
          <w:b w:val="0"/>
          <w:sz w:val="22"/>
          <w:rFonts w:cs="Arial" w:ascii="Arial" w:hAnsi="Arial"/>
        </w:rPr>
        <w:t>نخست، تعداد اندک نمونه‌های مثبت در پنجرهٔ آزمون (9 مورد) بازه‌های اطمینان را پهن می‌کند؛ از این رو PR-AUC اعتبارسنجی سیگنال پایدارتری برای انتخاب مدل است. دوم، محدودیت‌های مستند داده شامل ۳۹ مقدار مفقود جریان نقد عملیاتی، ۱۴۵ مقدار حل‌نشدهٔ سود ناخالص، ۱۳ ردیف با اطلاعات منبع ناقص و ۹۹ تغییر مالی غیرعادی بررسی‌نشده است؛ هیچ‌یک با صفر یا مقدار ساختگی پر نشدند. سوم، تمرکز رویدادهای درماندگی در سال‌های ابتدایی بازه، تعمیم به سال‌های اخیر را محدود می‌کند.</w:t>
      </w:r>
    </w:p>
    <w:p>
      <w:pPr>
        <w:jc w:val="right"/>
        <w:bidi/>
      </w:pPr>
      <w:r>
        <w:rPr>
          <w:b/>
          <w:color w:val="1A3B6E"/>
          <w:sz w:val="28"/>
          <w:rFonts w:cs="Arial" w:ascii="Arial" w:hAnsi="Arial"/>
        </w:rPr>
        <w:t>۷. نتیجه‌گیری</w:t>
      </w:r>
    </w:p>
    <w:p>
      <w:pPr>
        <w:jc w:val="right"/>
        <w:bidi/>
      </w:pPr>
      <w:r>
        <w:rPr>
          <w:b w:val="0"/>
          <w:sz w:val="22"/>
          <w:rFonts w:cs="Arial" w:ascii="Arial" w:hAnsi="Arial"/>
        </w:rPr>
        <w:t>این پژوهش یک چارچوب بازتولیدپذیر و مقاوم در برابر نشت برای پیش‌بینی یک‌سال‌جلوی درماندگی مالی ارائه کرد. مدل XGBoost با معیار اصلی PR-AUC بهترین تعادل میان فراخوانی و دقت را فراهم آورد و تحلیل SHAP تفسیرپذیری لازم برای کاربرد عملی را تأمین کرد. پیشنهاد می‌شود در پژوهش‌های آتی، متغیرهای کلان اقتصادی با تأخیر زمانی و دامنهٔ زمانی گسترده‌تر برای افزایش تعداد رویدادها به‌کار گرفته شود.</w:t>
      </w:r>
    </w:p>
    <w:p>
      <w:pPr>
        <w:jc w:val="right"/>
        <w:bidi/>
      </w:pPr>
      <w:r>
        <w:rPr>
          <w:b/>
          <w:color w:val="1A3B6E"/>
          <w:sz w:val="28"/>
          <w:rFonts w:cs="Arial" w:ascii="Arial" w:hAnsi="Arial"/>
        </w:rPr>
        <w:t>منابع</w:t>
      </w:r>
    </w:p>
    <w:p>
      <w:pPr>
        <w:jc w:val="left"/>
      </w:pPr>
      <w:r>
        <w:rPr>
          <w:sz w:val="18"/>
          <w:rFonts w:cs="Arial" w:ascii="Arial" w:hAnsi="Arial"/>
        </w:rPr>
        <w:t>Altman, E. I. (1968). Financial ratios, discriminant analysis and the prediction of corporate bankruptcy. The Journal of Finance, 23(4), 589–609.</w:t>
      </w:r>
    </w:p>
    <w:p>
      <w:pPr>
        <w:jc w:val="left"/>
      </w:pPr>
      <w:r>
        <w:rPr>
          <w:sz w:val="18"/>
          <w:rFonts w:cs="Arial" w:ascii="Arial" w:hAnsi="Arial"/>
        </w:rPr>
        <w:t>Ohlson, J. A. (1980). Financial ratios and the probabilistic prediction of bankruptcy. Journal of Accounting Research, 18(1), 109–131.</w:t>
      </w:r>
    </w:p>
    <w:p>
      <w:pPr>
        <w:jc w:val="left"/>
      </w:pPr>
      <w:r>
        <w:rPr>
          <w:sz w:val="18"/>
          <w:rFonts w:cs="Arial" w:ascii="Arial" w:hAnsi="Arial"/>
        </w:rPr>
        <w:t>Breiman, L. (2001). Random forests. Machine Learning, 45(1), 5–32.</w:t>
      </w:r>
    </w:p>
    <w:p>
      <w:pPr>
        <w:jc w:val="left"/>
      </w:pPr>
      <w:r>
        <w:rPr>
          <w:sz w:val="18"/>
          <w:rFonts w:cs="Arial" w:ascii="Arial" w:hAnsi="Arial"/>
        </w:rPr>
        <w:t>Chen, T., &amp; Guestrin, C. (2016). XGBoost: A scalable tree boosting system. In Proceedings of the 22nd ACM SIGKDD (pp. 785–794).</w:t>
      </w:r>
    </w:p>
    <w:p>
      <w:pPr>
        <w:jc w:val="left"/>
      </w:pPr>
      <w:r>
        <w:rPr>
          <w:sz w:val="18"/>
          <w:rFonts w:cs="Arial" w:ascii="Arial" w:hAnsi="Arial"/>
        </w:rPr>
        <w:t>Lundberg, S. M., &amp; Lee, S.-I. (2017). A unified approach to interpreting model predictions. In Advances in Neural Information Processing Systems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