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روش‌شناسی (پیش‌نویس مقاله)</w:t>
      </w:r>
    </w:p>
    <w:p>
      <w:pPr>
        <w:pStyle w:val="Heading2"/>
        <w:jc w:val="right"/>
        <w:bidi/>
      </w:pPr>
      <w:r>
        <w:t>داده و واحد مشاهده</w:t>
      </w:r>
    </w:p>
    <w:p>
      <w:pPr>
        <w:jc w:val="right"/>
        <w:bidi/>
      </w:pPr>
      <w:r>
        <w:t>واحد مشاهده شرکت‌ـ‌سال (`ticker × fiscal_year`) در بازهٔ ۱۳۹۲–۱۴۰۲ است. متغیر هدف</w:t>
      </w:r>
    </w:p>
    <w:p>
      <w:pPr>
        <w:jc w:val="right"/>
        <w:bidi/>
      </w:pPr>
      <w:r>
        <w:t>`distressed_target_reviewed` (۱=درمانده، ۰=غیردرمانده) بدون هیچ تغییری استفاده شد.</w:t>
      </w:r>
    </w:p>
    <w:p>
      <w:pPr>
        <w:pStyle w:val="Heading2"/>
        <w:jc w:val="right"/>
        <w:bidi/>
      </w:pPr>
      <w:r>
        <w:t>افق پیش‌بینی یک‌سال‌جلو</w:t>
      </w:r>
    </w:p>
    <w:p>
      <w:pPr>
        <w:jc w:val="right"/>
        <w:bidi/>
      </w:pPr>
      <w:r>
        <w:t>برای پرهیز از look-ahead bias، با اطلاعات سال t درماندگی سال t+1 پیش‌بینی می‌شود. پس از</w:t>
      </w:r>
    </w:p>
    <w:p>
      <w:pPr>
        <w:jc w:val="right"/>
        <w:bidi/>
      </w:pPr>
      <w:r>
        <w:t>این انتقال، مجموعهٔ نهایی **983 ردیف** با **37 نمونهٔ مثبت**</w:t>
      </w:r>
    </w:p>
    <w:p>
      <w:pPr>
        <w:jc w:val="right"/>
        <w:bidi/>
      </w:pPr>
      <w:r>
        <w:t>(3.76٪) به‌دست آمد. تنها ردیف‌های حذف‌شده، predictorهای سال ۱۴۰۲</w:t>
      </w:r>
    </w:p>
    <w:p>
      <w:pPr>
        <w:jc w:val="right"/>
        <w:bidi/>
      </w:pPr>
      <w:r>
        <w:t>(فاقد هدف ۱۴۰۳) بودند.</w:t>
      </w:r>
    </w:p>
    <w:p>
      <w:pPr>
        <w:pStyle w:val="Heading2"/>
        <w:jc w:val="right"/>
        <w:bidi/>
      </w:pPr>
      <w:r>
        <w:t>تقسیم زمانی</w:t>
      </w:r>
    </w:p>
    <w:p>
      <w:pPr>
        <w:jc w:val="right"/>
        <w:bidi/>
      </w:pPr>
      <w:r>
        <w:t>چون رویدادهای درماندگی تنها در سال‌های هدف ۱۳۹۳–۱۳۹۸ حضور دارند، تقسیم زمانی به‌صورت</w:t>
      </w:r>
    </w:p>
    <w:p>
      <w:pPr>
        <w:jc w:val="right"/>
        <w:bidi/>
      </w:pPr>
      <w:r>
        <w:t>توسعه = سال‌های هدف ۱۳۹۳–۱۳۹۶ (n=300،</w:t>
      </w:r>
    </w:p>
    <w:p>
      <w:pPr>
        <w:jc w:val="right"/>
        <w:bidi/>
      </w:pPr>
      <w:r>
        <w:t>مثبت=27) و آزمون دست‌نخورده = ۱۳۹۷–۱۳۹۸</w:t>
      </w:r>
    </w:p>
    <w:p>
      <w:pPr>
        <w:jc w:val="right"/>
        <w:bidi/>
      </w:pPr>
      <w:r>
        <w:t>(n=200، مثبت=9)</w:t>
      </w:r>
    </w:p>
    <w:p>
      <w:pPr>
        <w:jc w:val="right"/>
        <w:bidi/>
      </w:pPr>
      <w:r>
        <w:t>انجام شد. تنظیم ابرپارامترها با اعتبارسنجی پنجرهٔ گسترش‌یابنده و معیار میانگین PR-AUC.</w:t>
      </w:r>
    </w:p>
    <w:p>
      <w:pPr>
        <w:pStyle w:val="Heading2"/>
        <w:jc w:val="right"/>
        <w:bidi/>
      </w:pPr>
      <w:r>
        <w:t>پیش‌پردازش و عدم‌توازن</w:t>
      </w:r>
    </w:p>
    <w:p>
      <w:pPr>
        <w:jc w:val="right"/>
        <w:bidi/>
      </w:pPr>
      <w:r>
        <w:t>جای‌گذاری میانه + شاخص مفقودی، RobustScaler برای رگرسیون لجستیک و One-Hot برای صنعت،</w:t>
      </w:r>
    </w:p>
    <w:p>
      <w:pPr>
        <w:jc w:val="right"/>
        <w:bidi/>
      </w:pPr>
      <w:r>
        <w:t>همگی فقط روی دادهٔ آموزش هر fold برازش شدند. عدم‌توازن با یادگیری هزینه‌-حساس</w:t>
      </w:r>
    </w:p>
    <w:p>
      <w:pPr>
        <w:jc w:val="right"/>
        <w:bidi/>
      </w:pPr>
      <w:r>
        <w:t>(`class_weight` و `scale_pos_weight`) مدیریت شد؛ SMOTE صرفاً در تحلیل استحکام.</w:t>
      </w:r>
    </w:p>
    <w:p>
      <w:pPr>
        <w:pStyle w:val="Heading2"/>
        <w:jc w:val="right"/>
        <w:bidi/>
      </w:pPr>
      <w:r>
        <w:t>مدل‌ها و ارزیابی</w:t>
      </w:r>
    </w:p>
    <w:p>
      <w:pPr>
        <w:jc w:val="right"/>
        <w:bidi/>
      </w:pPr>
      <w:r>
        <w:t>سه مدل لجستیک، جنگل تصادفی و XGBoost روی feature set یکسان مقایسه شدند. معیار اصلی</w:t>
      </w:r>
    </w:p>
    <w:p>
      <w:pPr>
        <w:jc w:val="right"/>
        <w:bidi/>
      </w:pPr>
      <w:r>
        <w:t>PR-AUC و معیارهای مکمل ROC-AUC، Recall، Precision، F1/F2، ویژگی، دقت متوازن، MCC،</w:t>
      </w:r>
    </w:p>
    <w:p>
      <w:pPr>
        <w:jc w:val="right"/>
        <w:bidi/>
      </w:pPr>
      <w:r>
        <w:t>Brier و Log-Loss گزارش شد. آستانه فقط روی اعتبارسنجی و با بیشینه‌سازی F1 انتخاب شد. بازهٔ</w:t>
      </w:r>
    </w:p>
    <w:p>
      <w:pPr>
        <w:jc w:val="right"/>
        <w:bidi/>
      </w:pPr>
      <w:r>
        <w:t>اطمینان ۹۵٪ با bootstrap خوشه‌ای بر مبنای شرکت محاسبه شد. توضیح‌پذیری با SHAP (درختی، فقط</w:t>
      </w:r>
    </w:p>
    <w:p>
      <w:pPr>
        <w:jc w:val="right"/>
        <w:bidi/>
      </w:pPr>
      <w:r>
        <w:t>روی آزمون) و ضرایب/نسبت بخت برای لجستیک.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