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یافته‌ها (پیش‌نویس مقاله)</w:t>
      </w:r>
    </w:p>
    <w:p>
      <w:pPr>
        <w:jc w:val="right"/>
        <w:bidi/>
      </w:pPr>
      <w:r>
        <w:t>جدول ۱ معیارهای آزمون سه مدل را در آستانهٔ بهینهٔ مبتنی بر اعتبارسنجی نشان می‌دهد. معیار</w:t>
      </w:r>
    </w:p>
    <w:p>
      <w:pPr>
        <w:jc w:val="right"/>
        <w:bidi/>
      </w:pPr>
      <w:r>
        <w:t>اصلی PR-AUC و Recall کلاس درمانده برجسته است.</w:t>
      </w:r>
    </w:p>
    <w:p>
      <w:pPr>
        <w:jc w:val="right"/>
        <w:bidi/>
      </w:pPr>
      <w:r>
        <w:t>بر اساس PR-AUC، مدل **xgboost** بهترین عملکرد را داشت. به‌دلیل تعداد اندک نمونهٔ مثبت در</w:t>
      </w:r>
    </w:p>
    <w:p>
      <w:pPr>
        <w:jc w:val="right"/>
        <w:bidi/>
      </w:pPr>
      <w:r>
        <w:t>پنجرهٔ آزمون (۹ مورد)، بازه‌های اطمینان bootstrap پهن‌اند و نتایج باید با احتیاط تفسیر</w:t>
      </w:r>
    </w:p>
    <w:p>
      <w:pPr>
        <w:jc w:val="right"/>
        <w:bidi/>
      </w:pPr>
      <w:r>
        <w:t>شوند؛ سیگنال پایدارتر، PR-AUC اعتبارسنجی است. تحلیل‌های استحکام (Feature Set B، winsorization،</w:t>
      </w:r>
    </w:p>
    <w:p>
      <w:pPr>
        <w:jc w:val="right"/>
        <w:bidi/>
      </w:pPr>
      <w:r>
        <w:t>SMOTE، حذف متغیرهای نزدیک به تعریف، و طبقه‌بندی هم‌سال) جداگانه در فایل</w:t>
      </w:r>
    </w:p>
    <w:p>
      <w:pPr>
        <w:jc w:val="right"/>
        <w:bidi/>
      </w:pPr>
      <w:r>
        <w:t>`robustness_results.csv` گزارش شده‌اند و جایگزین مدل اصلی نیستند.</w:t>
      </w:r>
    </w:p>
    <w:p>
      <w:pPr>
        <w:pStyle w:val="Heading2"/>
        <w:jc w:val="right"/>
        <w:bidi/>
      </w:pPr>
      <w:r>
        <w:t>محدودیت‌ها</w:t>
      </w:r>
    </w:p>
    <w:p>
      <w:pPr>
        <w:jc w:val="right"/>
        <w:bidi/>
      </w:pPr>
      <w:r>
        <w:t>۳۹ مقدار مفقود جریان نقد عملیاتی، ۱۴۵ مقدار حل‌نشدهٔ سود ناخالص، ۱۳ ردیف با provenance ناقص</w:t>
      </w:r>
    </w:p>
    <w:p>
      <w:pPr>
        <w:jc w:val="right"/>
        <w:bidi/>
      </w:pPr>
      <w:r>
        <w:t>و ۹۹ تغییر مالی غیرعادی بررسی‌نشده؛ هیچ‌کدام با صفر پر نشدند. تمرکز رویدادهای درماندگی در</w:t>
      </w:r>
    </w:p>
    <w:p>
      <w:pPr>
        <w:jc w:val="right"/>
        <w:bidi/>
      </w:pPr>
      <w:r>
        <w:t>سال‌های ابتدایی بازه، ارزیابی هم‌زمانی روی سال‌های اخیر را محدود می‌کند.</w:t>
      </w:r>
    </w:p>
    <w:p>
      <w:pPr>
        <w:pStyle w:val="Heading2"/>
        <w:jc w:val="right"/>
        <w:bidi/>
      </w:pPr>
      <w:r>
        <w:t>جدول ۱: معیارهای آزمون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pr_auc</w:t>
            </w:r>
          </w:p>
        </w:tc>
        <w:tc>
          <w:tcPr>
            <w:tcW w:type="dxa" w:w="1080"/>
          </w:tcPr>
          <w:p>
            <w:r>
              <w:t>roc_auc</w:t>
            </w:r>
          </w:p>
        </w:tc>
        <w:tc>
          <w:tcPr>
            <w:tcW w:type="dxa" w:w="1080"/>
          </w:tcPr>
          <w:p>
            <w:r>
              <w:t>recall</w:t>
            </w:r>
          </w:p>
        </w:tc>
        <w:tc>
          <w:tcPr>
            <w:tcW w:type="dxa" w:w="1080"/>
          </w:tcPr>
          <w:p>
            <w:r>
              <w:t>precision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balanced_accuracy</w:t>
            </w:r>
          </w:p>
        </w:tc>
        <w:tc>
          <w:tcPr>
            <w:tcW w:type="dxa" w:w="1080"/>
          </w:tcPr>
          <w:p>
            <w:r>
              <w:t>brier</w:t>
            </w:r>
          </w:p>
        </w:tc>
      </w:tr>
      <w:tr>
        <w:tc>
          <w:tcPr>
            <w:tcW w:type="dxa" w:w="1080"/>
          </w:tcPr>
          <w:p>
            <w:r>
              <w:t>logistic</w:t>
            </w:r>
          </w:p>
        </w:tc>
        <w:tc>
          <w:tcPr>
            <w:tcW w:type="dxa" w:w="1080"/>
          </w:tcPr>
          <w:p>
            <w:r>
              <w:t>0.2628</w:t>
            </w:r>
          </w:p>
        </w:tc>
        <w:tc>
          <w:tcPr>
            <w:tcW w:type="dxa" w:w="1080"/>
          </w:tcPr>
          <w:p>
            <w:r>
              <w:t>0.7766</w:t>
            </w:r>
          </w:p>
        </w:tc>
        <w:tc>
          <w:tcPr>
            <w:tcW w:type="dxa" w:w="1080"/>
          </w:tcPr>
          <w:p>
            <w:r>
              <w:t>0.4444</w:t>
            </w:r>
          </w:p>
        </w:tc>
        <w:tc>
          <w:tcPr>
            <w:tcW w:type="dxa" w:w="1080"/>
          </w:tcPr>
          <w:p>
            <w:r>
              <w:t>0.2667</w:t>
            </w:r>
          </w:p>
        </w:tc>
        <w:tc>
          <w:tcPr>
            <w:tcW w:type="dxa" w:w="1080"/>
          </w:tcPr>
          <w:p>
            <w:r>
              <w:t>0.3333</w:t>
            </w:r>
          </w:p>
        </w:tc>
        <w:tc>
          <w:tcPr>
            <w:tcW w:type="dxa" w:w="1080"/>
          </w:tcPr>
          <w:p>
            <w:r>
              <w:t>0.6934</w:t>
            </w:r>
          </w:p>
        </w:tc>
        <w:tc>
          <w:tcPr>
            <w:tcW w:type="dxa" w:w="1080"/>
          </w:tcPr>
          <w:p>
            <w:r>
              <w:t>0.1294</w:t>
            </w:r>
          </w:p>
        </w:tc>
      </w:tr>
      <w:tr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0.6084</w:t>
            </w:r>
          </w:p>
        </w:tc>
        <w:tc>
          <w:tcPr>
            <w:tcW w:type="dxa" w:w="1080"/>
          </w:tcPr>
          <w:p>
            <w:r>
              <w:t>0.8662</w:t>
            </w:r>
          </w:p>
        </w:tc>
        <w:tc>
          <w:tcPr>
            <w:tcW w:type="dxa" w:w="1080"/>
          </w:tcPr>
          <w:p>
            <w:r>
              <w:t>0.6667</w:t>
            </w:r>
          </w:p>
        </w:tc>
        <w:tc>
          <w:tcPr>
            <w:tcW w:type="dxa" w:w="1080"/>
          </w:tcPr>
          <w:p>
            <w:r>
              <w:t>0.4286</w:t>
            </w:r>
          </w:p>
        </w:tc>
        <w:tc>
          <w:tcPr>
            <w:tcW w:type="dxa" w:w="1080"/>
          </w:tcPr>
          <w:p>
            <w:r>
              <w:t>0.5217</w:t>
            </w:r>
          </w:p>
        </w:tc>
        <w:tc>
          <w:tcPr>
            <w:tcW w:type="dxa" w:w="1080"/>
          </w:tcPr>
          <w:p>
            <w:r>
              <w:t>0.8124</w:t>
            </w:r>
          </w:p>
        </w:tc>
        <w:tc>
          <w:tcPr>
            <w:tcW w:type="dxa" w:w="1080"/>
          </w:tcPr>
          <w:p>
            <w:r>
              <w:t>0.0722</w:t>
            </w:r>
          </w:p>
        </w:tc>
      </w:tr>
      <w:tr>
        <w:tc>
          <w:tcPr>
            <w:tcW w:type="dxa" w:w="1080"/>
          </w:tcPr>
          <w:p>
            <w:r>
              <w:t>xgboost</w:t>
            </w:r>
          </w:p>
        </w:tc>
        <w:tc>
          <w:tcPr>
            <w:tcW w:type="dxa" w:w="1080"/>
          </w:tcPr>
          <w:p>
            <w:r>
              <w:t>0.6278</w:t>
            </w:r>
          </w:p>
        </w:tc>
        <w:tc>
          <w:tcPr>
            <w:tcW w:type="dxa" w:w="1080"/>
          </w:tcPr>
          <w:p>
            <w:r>
              <w:t>0.8726</w:t>
            </w:r>
          </w:p>
        </w:tc>
        <w:tc>
          <w:tcPr>
            <w:tcW w:type="dxa" w:w="1080"/>
          </w:tcPr>
          <w:p>
            <w:r>
              <w:t>0.7778</w:t>
            </w:r>
          </w:p>
        </w:tc>
        <w:tc>
          <w:tcPr>
            <w:tcW w:type="dxa" w:w="1080"/>
          </w:tcPr>
          <w:p>
            <w:r>
              <w:t>0.4375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  <w:tc>
          <w:tcPr>
            <w:tcW w:type="dxa" w:w="1080"/>
          </w:tcPr>
          <w:p>
            <w:r>
              <w:t>0.8653</w:t>
            </w:r>
          </w:p>
        </w:tc>
        <w:tc>
          <w:tcPr>
            <w:tcW w:type="dxa" w:w="1080"/>
          </w:tcPr>
          <w:p>
            <w:r>
              <w:t>0.048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