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Modeling Report — Financial Distress Prediction (Stage121)</w:t>
      </w:r>
    </w:p>
    <w:p>
      <w:r>
        <w:t>Models compared on an identical feature set: **Logistic Regression, Random Forest, XGBoost**. Main metric: **PR-AUC**. Forecast horizon: **one year ahead** (firm info at year *t* → distress at *t+1*).</w:t>
      </w:r>
    </w:p>
    <w:p>
      <w:pPr>
        <w:pStyle w:val="Heading2"/>
      </w:pPr>
      <w:r>
        <w:t>1. Data &amp; target</w:t>
      </w:r>
    </w:p>
    <w:p>
      <w:pPr>
        <w:pStyle w:val="ListBullet"/>
      </w:pPr>
      <w:r>
        <w:t>One-year-ahead rows built: **983**, positives **37** (3.76%).</w:t>
      </w:r>
    </w:p>
    <w:p>
      <w:pPr>
        <w:pStyle w:val="ListBullet"/>
      </w:pPr>
      <w:r>
        <w:t>Only dropped predictors: {'predictor_last_year_no_next_panel_row': 128, 'next_year_gap_no_row': 0, 'next_target_invalid': 0}.</w:t>
      </w:r>
    </w:p>
    <w:p>
      <w:pPr>
        <w:pStyle w:val="ListBullet"/>
      </w:pPr>
      <w:r>
        <w:t>Target `distressed_target_reviewed` was never modified; year-*t* label is excluded from features.</w:t>
      </w:r>
    </w:p>
    <w:p>
      <w:pPr>
        <w:pStyle w:val="Heading2"/>
      </w:pPr>
      <w:r>
        <w:t>2. Temporal split (approved revision)</w:t>
      </w:r>
    </w:p>
    <w:p>
      <w:r>
        <w:t>Distress events exist only in target years 1393–1398, so the brief's original test window (1401–1402) contained a single positive and two validation folds with zero positives. With written approval the boundary was moved earlier:</w:t>
      </w:r>
    </w:p>
    <w:p>
      <w:pPr>
        <w:pStyle w:val="ListBullet"/>
      </w:pPr>
      <w:r>
        <w:t>**dev**: n=300, positives=27</w:t>
      </w:r>
    </w:p>
    <w:p>
      <w:pPr>
        <w:pStyle w:val="ListBullet"/>
      </w:pPr>
      <w:r>
        <w:t>**test**: n=200, positives=9</w:t>
      </w:r>
    </w:p>
    <w:p>
      <w:pPr>
        <w:pStyle w:val="ListBullet"/>
      </w:pPr>
      <w:r>
        <w:t>Rows with target_year ≥ 1399 (zero positives, after the test window) are excluded from one-year-ahead modeling and documented.</w:t>
      </w:r>
    </w:p>
    <w:p>
      <w:pPr>
        <w:pStyle w:val="Heading2"/>
      </w:pPr>
      <w:r>
        <w:t>3. Pipeline</w:t>
      </w:r>
    </w:p>
    <w:p>
      <w:pPr>
        <w:pStyle w:val="ListBullet"/>
      </w:pPr>
      <w:r>
        <w:t>All preprocessing (median impute + missing indicators, RobustScaler for LR, one-hot industry) is fit on the training fold only — no leakage.</w:t>
      </w:r>
    </w:p>
    <w:p>
      <w:pPr>
        <w:pStyle w:val="ListBullet"/>
      </w:pPr>
      <w:r>
        <w:t>Imbalance handled by cost-sensitive learning (class_weight / scale_pos_weight); SMOTE only in robustness.</w:t>
      </w:r>
    </w:p>
    <w:p>
      <w:pPr>
        <w:pStyle w:val="ListBullet"/>
      </w:pPr>
      <w:r>
        <w:t>Hyperparameters tuned with Optuna on expanding-window folds; selection metric = mean validation PR-AUC. Thresholds chosen on validation only.</w:t>
      </w:r>
    </w:p>
    <w:p>
      <w:pPr>
        <w:pStyle w:val="Heading2"/>
      </w:pPr>
      <w:r>
        <w:t>4. Cross-validation (validation folds)</w:t>
      </w:r>
    </w:p>
    <w:p>
      <w:pPr>
        <w:pStyle w:val="Heading2"/>
      </w:pPr>
      <w:r>
        <w:t>5. Test results (optimal threshold, primary = F1)</w:t>
      </w:r>
    </w:p>
    <w:p>
      <w:pPr>
        <w:pStyle w:val="Heading2"/>
      </w:pPr>
      <w:r>
        <w:t>6. Test 95% cluster-bootstrap CIs (by ticker)</w:t>
      </w:r>
    </w:p>
    <w:p>
      <w:pPr>
        <w:pStyle w:val="Heading2"/>
      </w:pPr>
      <w:r>
        <w:t>7. Seed stability (RF &amp; XGBoost, 30 seeds)</w:t>
      </w:r>
    </w:p>
    <w:p>
      <w:pPr>
        <w:pStyle w:val="Heading2"/>
      </w:pPr>
      <w:r>
        <w:t>8. Calibration (Brier on test)</w:t>
      </w:r>
    </w:p>
    <w:p>
      <w:pPr>
        <w:pStyle w:val="Heading2"/>
      </w:pPr>
      <w:r>
        <w:t>9. Robustness (separate from main result)</w:t>
      </w:r>
    </w:p>
    <w:p>
      <w:pPr>
        <w:pStyle w:val="Heading2"/>
      </w:pPr>
      <w:r>
        <w:t>10. Documented data limitations (brief)</w:t>
      </w:r>
    </w:p>
    <w:p>
      <w:pPr>
        <w:pStyle w:val="ListBullet"/>
      </w:pPr>
      <w:r>
        <w:t>39 missing `operating_cash_flow` (1 source_unavailable_codal, 38 deferred); 145 unresolved `gross_profit`; 13 incomplete provenance; 99 unreviewed abnormal financial changes. None were zero-filled.</w:t>
      </w:r>
    </w:p>
    <w:p>
      <w:pPr>
        <w:pStyle w:val="Heading2"/>
      </w:pPr>
      <w:r>
        <w:t>11. Caveats</w:t>
      </w:r>
    </w:p>
    <w:p>
      <w:pPr>
        <w:pStyle w:val="ListBullet"/>
      </w:pPr>
      <w:r>
        <w:t>Only 9 positives in the test window → test metrics and bootstrap CIs are wide; PR-AUC on validation folds is the more stable selection signal.</w:t>
      </w:r>
    </w:p>
    <w:p>
      <w:pPr>
        <w:pStyle w:val="Heading2"/>
      </w:pPr>
      <w:r>
        <w:t>Appendix table — test metrics (primary threshold)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pr_auc</w:t>
            </w:r>
          </w:p>
        </w:tc>
        <w:tc>
          <w:tcPr>
            <w:tcW w:type="dxa" w:w="960"/>
          </w:tcPr>
          <w:p>
            <w:r>
              <w:t>roc_auc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balanced_accuracy</w:t>
            </w:r>
          </w:p>
        </w:tc>
        <w:tc>
          <w:tcPr>
            <w:tcW w:type="dxa" w:w="960"/>
          </w:tcPr>
          <w:p>
            <w:r>
              <w:t>mcc</w:t>
            </w:r>
          </w:p>
        </w:tc>
        <w:tc>
          <w:tcPr>
            <w:tcW w:type="dxa" w:w="960"/>
          </w:tcPr>
          <w:p>
            <w:r>
              <w:t>brier</w:t>
            </w:r>
          </w:p>
        </w:tc>
      </w:tr>
      <w:tr>
        <w:tc>
          <w:tcPr>
            <w:tcW w:type="dxa" w:w="960"/>
          </w:tcPr>
          <w:p>
            <w:r>
              <w:t>logistic</w:t>
            </w:r>
          </w:p>
        </w:tc>
        <w:tc>
          <w:tcPr>
            <w:tcW w:type="dxa" w:w="960"/>
          </w:tcPr>
          <w:p>
            <w:r>
              <w:t>0.2628</w:t>
            </w:r>
          </w:p>
        </w:tc>
        <w:tc>
          <w:tcPr>
            <w:tcW w:type="dxa" w:w="960"/>
          </w:tcPr>
          <w:p>
            <w:r>
              <w:t>0.7766</w:t>
            </w:r>
          </w:p>
        </w:tc>
        <w:tc>
          <w:tcPr>
            <w:tcW w:type="dxa" w:w="960"/>
          </w:tcPr>
          <w:p>
            <w:r>
              <w:t>0.4444</w:t>
            </w:r>
          </w:p>
        </w:tc>
        <w:tc>
          <w:tcPr>
            <w:tcW w:type="dxa" w:w="960"/>
          </w:tcPr>
          <w:p>
            <w:r>
              <w:t>0.2667</w:t>
            </w:r>
          </w:p>
        </w:tc>
        <w:tc>
          <w:tcPr>
            <w:tcW w:type="dxa" w:w="960"/>
          </w:tcPr>
          <w:p>
            <w:r>
              <w:t>0.3333</w:t>
            </w:r>
          </w:p>
        </w:tc>
        <w:tc>
          <w:tcPr>
            <w:tcW w:type="dxa" w:w="960"/>
          </w:tcPr>
          <w:p>
            <w:r>
              <w:t>0.6934</w:t>
            </w:r>
          </w:p>
        </w:tc>
        <w:tc>
          <w:tcPr>
            <w:tcW w:type="dxa" w:w="960"/>
          </w:tcPr>
          <w:p>
            <w:r>
              <w:t>0.3045</w:t>
            </w:r>
          </w:p>
        </w:tc>
        <w:tc>
          <w:tcPr>
            <w:tcW w:type="dxa" w:w="960"/>
          </w:tcPr>
          <w:p>
            <w:r>
              <w:t>0.1294</w:t>
            </w:r>
          </w:p>
        </w:tc>
      </w:tr>
      <w:tr>
        <w:tc>
          <w:tcPr>
            <w:tcW w:type="dxa" w:w="960"/>
          </w:tcPr>
          <w:p>
            <w:r>
              <w:t>random_forest</w:t>
            </w:r>
          </w:p>
        </w:tc>
        <w:tc>
          <w:tcPr>
            <w:tcW w:type="dxa" w:w="960"/>
          </w:tcPr>
          <w:p>
            <w:r>
              <w:t>0.6084</w:t>
            </w:r>
          </w:p>
        </w:tc>
        <w:tc>
          <w:tcPr>
            <w:tcW w:type="dxa" w:w="960"/>
          </w:tcPr>
          <w:p>
            <w:r>
              <w:t>0.8662</w:t>
            </w:r>
          </w:p>
        </w:tc>
        <w:tc>
          <w:tcPr>
            <w:tcW w:type="dxa" w:w="960"/>
          </w:tcPr>
          <w:p>
            <w:r>
              <w:t>0.6667</w:t>
            </w:r>
          </w:p>
        </w:tc>
        <w:tc>
          <w:tcPr>
            <w:tcW w:type="dxa" w:w="960"/>
          </w:tcPr>
          <w:p>
            <w:r>
              <w:t>0.4286</w:t>
            </w:r>
          </w:p>
        </w:tc>
        <w:tc>
          <w:tcPr>
            <w:tcW w:type="dxa" w:w="960"/>
          </w:tcPr>
          <w:p>
            <w:r>
              <w:t>0.5217</w:t>
            </w:r>
          </w:p>
        </w:tc>
        <w:tc>
          <w:tcPr>
            <w:tcW w:type="dxa" w:w="960"/>
          </w:tcPr>
          <w:p>
            <w:r>
              <w:t>0.8124</w:t>
            </w:r>
          </w:p>
        </w:tc>
        <w:tc>
          <w:tcPr>
            <w:tcW w:type="dxa" w:w="960"/>
          </w:tcPr>
          <w:p>
            <w:r>
              <w:t>0.5076</w:t>
            </w:r>
          </w:p>
        </w:tc>
        <w:tc>
          <w:tcPr>
            <w:tcW w:type="dxa" w:w="960"/>
          </w:tcPr>
          <w:p>
            <w:r>
              <w:t>0.0722</w:t>
            </w:r>
          </w:p>
        </w:tc>
      </w:tr>
      <w:tr>
        <w:tc>
          <w:tcPr>
            <w:tcW w:type="dxa" w:w="960"/>
          </w:tcPr>
          <w:p>
            <w:r>
              <w:t>xgboost</w:t>
            </w:r>
          </w:p>
        </w:tc>
        <w:tc>
          <w:tcPr>
            <w:tcW w:type="dxa" w:w="960"/>
          </w:tcPr>
          <w:p>
            <w:r>
              <w:t>0.6278</w:t>
            </w:r>
          </w:p>
        </w:tc>
        <w:tc>
          <w:tcPr>
            <w:tcW w:type="dxa" w:w="960"/>
          </w:tcPr>
          <w:p>
            <w:r>
              <w:t>0.8726</w:t>
            </w:r>
          </w:p>
        </w:tc>
        <w:tc>
          <w:tcPr>
            <w:tcW w:type="dxa" w:w="960"/>
          </w:tcPr>
          <w:p>
            <w:r>
              <w:t>0.7778</w:t>
            </w:r>
          </w:p>
        </w:tc>
        <w:tc>
          <w:tcPr>
            <w:tcW w:type="dxa" w:w="960"/>
          </w:tcPr>
          <w:p>
            <w:r>
              <w:t>0.4375</w:t>
            </w:r>
          </w:p>
        </w:tc>
        <w:tc>
          <w:tcPr>
            <w:tcW w:type="dxa" w:w="960"/>
          </w:tcPr>
          <w:p>
            <w:r>
              <w:t>0.56</w:t>
            </w:r>
          </w:p>
        </w:tc>
        <w:tc>
          <w:tcPr>
            <w:tcW w:type="dxa" w:w="960"/>
          </w:tcPr>
          <w:p>
            <w:r>
              <w:t>0.8653</w:t>
            </w:r>
          </w:p>
        </w:tc>
        <w:tc>
          <w:tcPr>
            <w:tcW w:type="dxa" w:w="960"/>
          </w:tcPr>
          <w:p>
            <w:r>
              <w:t>0.5583</w:t>
            </w:r>
          </w:p>
        </w:tc>
        <w:tc>
          <w:tcPr>
            <w:tcW w:type="dxa" w:w="960"/>
          </w:tcPr>
          <w:p>
            <w:r>
              <w:t>0.048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