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Reproducibility Table S1</w:t>
      </w:r>
    </w:p>
    <w:p>
      <w:r>
        <w:t>This supplementary table expands the reproducibility details for the repeated empirical evaluation of AQRPE v2 on the five NASA/PROMISE static-metric datasets. It is anonymous and contains no author-identifying information.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4848"/>
            <w:shd w:fill="D9EAF7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4848"/>
            <w:shd w:fill="D9EAF7"/>
          </w:tcPr>
          <w:p>
            <w:r/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Datasets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Projects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CM1, JM1, KC1, KC2, and PC1 NASA/PROMISE static-metric datasets.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Datasets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Target column standardization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Source target column was mapped from defects (CM1, JM1, KC1, PC1) or problems (KC2) into a binary defect label. Values representing yes/true/1/defective were mapped to 1; all other non-defective values were mapped to 0.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Datasets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Feature alignment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Feature names were normalized to lower-case strings and all projects were reindexed to the common static-metric feature set used in the five CSV files. The standardized feature matrix contained 20 common numeric predictors after target-column removal, numeric conversion, and common-schema intersection across the five projects.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Preprocessing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Numeric conversion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All non-target feature columns were coerced to numeric values before model fitting. Any non-numeric residuals were treated as missing values.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Preprocessing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Imputation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SimpleImputer(strategy="median") was fitted on the training partition only inside each run and then applied to validation and test partitions.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Preprocessing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Scaling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StandardScaler was used only in logistic-regression pipelines after median imputation. Tree-based learners used median imputation but no scaling.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Splitting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Repeated seeds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The repeated evaluation used seeds 7, 13, 29, 42, and 101.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Splitting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Within-project split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For each project and seed, a stratified 20% test split was first held out. The remaining 80% was split again with a stratified 25% validation split, resulting in approximately 60% training, 20% validation, and 20% test data.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Splitting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Cross-project split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Leave-one-project-out testing was used. The full target project was reserved as the test set. The other four projects were concatenated and stratified into 75% source-training and 25% source-validation partitions for each seed.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Splitting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Random-state policy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The seed controlled the repeated train/validation/test split and the random_state of stochastic learners. The same seed value was used consistently within a given repeated run. Test labels were never used for candidate selection or threshold tuning.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Candidate learners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LR_std_C0.1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Pipeline: median imputation -&gt; StandardScaler -&gt; LogisticRegression(C=0.1, penalty="l2", solver="lbfgs", class_weight="balanced", max_iter=600, random_state=seed).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Candidate learners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LR_std_C1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Pipeline: median imputation -&gt; StandardScaler -&gt; LogisticRegression(C=1.0, penalty="l2", solver="lbfgs", class_weight="balanced", max_iter=600, random_state=seed).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Candidate learners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DT_leaf5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Pipeline: median imputation -&gt; DecisionTreeClassifier(criterion="gini", splitter="best", min_samples_leaf=5, max_depth=None, random_state=seed).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Candidate learners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ET_leaf5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Pipeline: median imputation -&gt; ExtraTreesClassifier(n_estimators=50, criterion="gini", max_depth=None, min_samples_leaf=5, max_features="sqrt", bootstrap=False, class_weight="balanced", random_state=seed, n_jobs=2).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Thresholding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Score clipping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Predicted probabilities were clipped to [1e-7, 1 - 1e-7] before metric computation and threshold search.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Thresholding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Threshold grid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For each validation score vector p, the searched threshold set was unique(concat(linspace(0.03, 0.97, 41), quantile(p, linspace(0.03, 0.97, 25)))). The grid was therefore candidate- and validation-split-specific while still anchored by a fixed coarse grid.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Validation objectives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Balanced selection objective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0.36*MCC + 0.27*F1 + 0.20*BalancedAccuracy + 0.10*AveragePrecision + 0.05*Recall@10% + 0.02*Recall@20% - 0.02*Brier.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Validation objectives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Ranking objective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0.60*AveragePrecision + 0.25*Recall@10% + 0.15*Recall@20%. This configuration is interpreted primarily as a ranking variant, not as an optimized binary classifier.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Validation objectives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MCC objective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MCC on validation predictions over the searched threshold grid.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AQRPE variants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AQRPE_v2_balanced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Selects the candidate/threshold pair with the highest balanced validation objective.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AQRPE variants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AQRPE_v2_rank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Selects the candidate according to the ranking objective; threshold-based metrics are reported for completeness but are not the primary target of this variant.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AQRPE variants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AQRPE_v2_mcc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Selects the candidate/threshold pair with the highest validation MCC.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AQRPE variants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AQRPE_v2_soft_top3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Selects the three candidates with the highest balanced validation scores, averages their validation scores, tunes a threshold on that validation ensemble score, and applies the frozen ensemble and threshold to the test partition.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Top-k metrics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Top-k rule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Precision@10%, Recall@10%, and Lift@10% used k=ceil(0.10*n_test). Recall@20% used k=ceil(0.20*n_test) inside validation objectives.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Top-k metrics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Lift@10%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Lift@10% = Precision@10% / test-set defect prevalence. Higher values indicate stronger concentration of defective modules in the top-ranked 10%.</w:t>
            </w:r>
          </w:p>
        </w:tc>
      </w:tr>
      <w:tr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Integrity controls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No leakage rule</w:t>
            </w:r>
          </w:p>
        </w:tc>
        <w:tc>
          <w:tcPr>
            <w:tcW w:type="dxa" w:w="4848"/>
          </w:tcPr>
          <w:p>
            <w:r/>
            <w:r>
              <w:rPr>
                <w:b w:val="0"/>
                <w:sz w:val="14"/>
              </w:rPr>
              <w:t>Training partitions fitted preprocessors and candidate learners; validation partitions selected candidates, ensemble members, and thresholds; test partitions were used only once for final evaluation metrics.</w:t>
            </w:r>
          </w:p>
        </w:tc>
      </w:tr>
    </w:tbl>
    <w:p>
      <w:r>
        <w:t>Notes: DT_leaf5 and ET_leaf5 are compact tree learners used for baseline comparison and adaptive candidate selection. AQRPE_v2_rank is a ranking-oriented configuration; its threshold-based metrics are reported for transparency but should not be interpreted as its primary optimization target.</w:t>
      </w:r>
    </w:p>
    <w:sectPr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