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Graph Neural Networks for Seizure Onset Zone Localization in Drug-Resistant Epilepsy: A Multi-Site Intracranial EEG Study</w:t>
      </w:r>
    </w:p>
    <w:p>
      <w:pPr>
        <w:jc w:val="center"/>
      </w:pPr>
      <w:r>
        <w:rPr>
          <w:rFonts w:ascii="Times New Roman" w:hAnsi="Times New Roman"/>
          <w:sz w:val="24"/>
        </w:rPr>
        <w:t>Abtin Akhtari</w:t>
      </w:r>
    </w:p>
    <w:p>
      <w:pPr>
        <w:jc w:val="center"/>
      </w:pPr>
      <w:r>
        <w:rPr>
          <w:rFonts w:ascii="Times New Roman" w:hAnsi="Times New Roman"/>
          <w:i/>
        </w:rPr>
        <w:t>University of Nebraska Medical Center</w:t>
      </w:r>
    </w:p>
    <w:p>
      <w:pPr>
        <w:jc w:val="center"/>
      </w:pPr>
      <w:r>
        <w:rPr>
          <w:rFonts w:ascii="Times New Roman" w:hAnsi="Times New Roman"/>
          <w:sz w:val="20"/>
        </w:rPr>
        <w:t>Corresponding Author: abtin.akhtary@gmail.com</w:t>
      </w:r>
    </w:p>
    <w:p/>
    <w:p>
      <w:pPr>
        <w:jc w:val="center"/>
      </w:pPr>
      <w:r>
        <w:rPr>
          <w:rFonts w:ascii="Times New Roman" w:hAnsi="Times New Roman"/>
          <w:b/>
        </w:rPr>
        <w:t>Abstract</w:t>
      </w:r>
    </w:p>
    <w:p>
      <w:pPr>
        <w:ind w:firstLine="720"/>
        <w:jc w:val="both"/>
      </w:pPr>
      <w:r>
        <w:rPr>
          <w:rFonts w:ascii="Times New Roman" w:hAnsi="Times New Roman"/>
        </w:rPr>
        <w:t>Accurate localization of the seizure onset zone (SOZ) is critical for surgical planning in patients with drug-resistant epilepsy. While intracranial electroencephalography (iEEG) remains the gold standard for SOZ identification, manual analysis is time-consuming and subject to inter-rater variability. In this study, we present a graph neural network (GNN) framework that models iEEG electrode arrays as graphs, where nodes represent electrodes and edges capture functional connectivity patterns. We combined two publicly available datasets from the Hospital of the University of Pennsylvania, totaling 81 patients and 212 recordings with 126 having expert-annotated SOZ labels. Our GraphSAGE-based architecture, incorporating self-supervised pretraining and online data augmentation, achieved an area under the receiver operating characteristic curve (AUC) of 0.768 on held-out test data. Notably, the model demonstrated high sensitivity (recall of 65%), which is clinically valuable for ensuring comprehensive SOZ coverage. These findings suggest that GNN-based approaches can serve as effective decision-support tools for epilepsy surgical planning.</w:t>
      </w:r>
    </w:p>
    <w:p>
      <w:r>
        <w:rPr>
          <w:rFonts w:ascii="Times New Roman" w:hAnsi="Times New Roman"/>
          <w:b/>
        </w:rPr>
        <w:t xml:space="preserve">Keywords: </w:t>
      </w:r>
      <w:r>
        <w:rPr>
          <w:rFonts w:ascii="Times New Roman" w:hAnsi="Times New Roman"/>
          <w:i/>
        </w:rPr>
        <w:t>seizure onset zone, graph neural networks, intracranial EEG, epilepsy surgery, deep learning</w:t>
      </w:r>
    </w:p>
    <w:p/>
    <w:p>
      <w:r>
        <w:rPr>
          <w:rFonts w:ascii="Times New Roman" w:hAnsi="Times New Roman"/>
          <w:b/>
          <w:sz w:val="24"/>
        </w:rPr>
        <w:t>1. Introduction</w:t>
      </w:r>
    </w:p>
    <w:p>
      <w:pPr>
        <w:ind w:firstLine="720"/>
        <w:jc w:val="both"/>
      </w:pPr>
      <w:r>
        <w:rPr>
          <w:rFonts w:ascii="Times New Roman" w:hAnsi="Times New Roman"/>
        </w:rPr>
        <w:t>Epilepsy affects approximately 50 million people worldwide, with roughly one-third of patients developing drug-resistant epilepsy (Kwan &amp; Brodie, 2000). For these individuals, surgical resection of the seizure onset zone offers the best chance of seizure freedom, with success rates ranging from 50% to 80% depending on the underlying pathology (Engel et al., 2012). However, the success of epilepsy surgery hinges critically on accurate identification of the SOZ, defined as the brain region where seizures originate.</w:t>
      </w:r>
    </w:p>
    <w:p>
      <w:pPr>
        <w:ind w:firstLine="720"/>
        <w:jc w:val="both"/>
      </w:pPr>
      <w:r>
        <w:rPr>
          <w:rFonts w:ascii="Times New Roman" w:hAnsi="Times New Roman"/>
        </w:rPr>
        <w:t>Intracranial electroencephalography (iEEG), including stereoelectroencephalography (SEEG) and electrocorticography (ECoG), provides high spatial and temporal resolution recordings directly from brain tissue. Epileptologists analyze these recordings to identify electrodes showing ictal onset patterns, a process that is both time-intensive and subjective. Studies have shown substantial inter-rater variability in SOZ determination, highlighting the need for objective, automated methods (Varatharajah et al., 2018).</w:t>
      </w:r>
    </w:p>
    <w:p>
      <w:pPr>
        <w:ind w:firstLine="720"/>
        <w:jc w:val="both"/>
      </w:pPr>
      <w:r>
        <w:rPr>
          <w:rFonts w:ascii="Times New Roman" w:hAnsi="Times New Roman"/>
        </w:rPr>
        <w:t>Recent advances in deep learning have shown promise for automated analysis of neurophysiological signals. However, traditional convolutional and recurrent architectures struggle to capture the complex spatial relationships inherent in electrode arrays, which vary in configuration across patients. Graph neural networks (GNNs) offer a natural solution by representing electrodes as nodes in a graph, with edges encoding functional connectivity between recording sites (Bessadok et al., 2022).</w:t>
      </w:r>
    </w:p>
    <w:p>
      <w:pPr>
        <w:ind w:firstLine="720"/>
        <w:jc w:val="both"/>
      </w:pPr>
      <w:r>
        <w:rPr>
          <w:rFonts w:ascii="Times New Roman" w:hAnsi="Times New Roman"/>
        </w:rPr>
        <w:t>In this work, we develop and evaluate a GNN-based pipeline for SOZ localization using a combined dataset of 81 patients from two publicly available iEEG repositories. Our contributions include: (1) a unified preprocessing pipeline capable of handling multiple data formats, (2) a self-supervised pretraining strategy to leverage unlabeled recordings, (3) systematic evaluation of data augmentation techniques, and (4) comprehensive comparison across multiple GNN architectures.</w:t>
      </w:r>
    </w:p>
    <w:p>
      <w:r>
        <w:rPr>
          <w:rFonts w:ascii="Times New Roman" w:hAnsi="Times New Roman"/>
          <w:b/>
          <w:sz w:val="24"/>
        </w:rPr>
        <w:t>2. Materials and Methods</w:t>
      </w:r>
    </w:p>
    <w:p>
      <w:r>
        <w:rPr>
          <w:rFonts w:ascii="Times New Roman" w:hAnsi="Times New Roman"/>
          <w:b/>
          <w:i/>
        </w:rPr>
        <w:t>2.1 Datasets</w:t>
      </w:r>
    </w:p>
    <w:p>
      <w:pPr>
        <w:ind w:firstLine="720"/>
        <w:jc w:val="both"/>
      </w:pPr>
      <w:r>
        <w:rPr>
          <w:rFonts w:ascii="Times New Roman" w:hAnsi="Times New Roman"/>
        </w:rPr>
        <w:t>We utilized two publicly available datasets from the Hospital of the University of Pennsylvania (HUP), both hosted on OpenNeuro:</w:t>
      </w:r>
    </w:p>
    <w:p>
      <w:pPr>
        <w:ind w:firstLine="720"/>
        <w:jc w:val="both"/>
      </w:pPr>
      <w:r>
        <w:rPr>
          <w:rFonts w:ascii="Times New Roman" w:hAnsi="Times New Roman"/>
        </w:rPr>
        <w:t>Dataset 1 (ds003029): This dataset contains iEEG recordings from 23 patients with drug-resistant epilepsy who underwent presurgical evaluation. Recordings are provided in BrainVision format, with SOZ annotations encoded in event markers within the BIDS events.tsv files.</w:t>
      </w:r>
    </w:p>
    <w:p>
      <w:pPr>
        <w:ind w:firstLine="720"/>
        <w:jc w:val="both"/>
      </w:pPr>
      <w:r>
        <w:rPr>
          <w:rFonts w:ascii="Times New Roman" w:hAnsi="Times New Roman"/>
        </w:rPr>
        <w:t>Dataset 2 (ds004100): This larger dataset comprises 58 patients with SEEG or ECoG recordings. Data are provided in European Data Format (EDF), with SOZ labels directly annotated in the channels.tsv metadata files. All patients subsequently underwent surgical resection or laser ablation, with Engel outcomes documented.</w:t>
      </w:r>
    </w:p>
    <w:p>
      <w:pPr>
        <w:ind w:firstLine="720"/>
        <w:jc w:val="both"/>
      </w:pPr>
      <w:r>
        <w:rPr>
          <w:rFonts w:ascii="Times New Roman" w:hAnsi="Times New Roman"/>
        </w:rPr>
        <w:t>The combined dataset included 212 recordings, of which 126 had expert-annotated SOZ labels (Table 1). Recordings without SOZ annotations were used for self-supervised pretraining.</w:t>
      </w:r>
    </w:p>
    <w:p>
      <w:pPr>
        <w:jc w:val="center"/>
      </w:pPr>
      <w:r>
        <w:rPr>
          <w:rFonts w:ascii="Times New Roman" w:hAnsi="Times New Roman"/>
          <w:b/>
        </w:rPr>
        <w:t xml:space="preserve">Table 1. </w:t>
      </w:r>
      <w:r>
        <w:rPr>
          <w:rFonts w:ascii="Times New Roman" w:hAnsi="Times New Roman"/>
        </w:rPr>
        <w:t>Dataset characteristics</w:t>
      </w:r>
    </w:p>
    <w:tbl>
      <w:tblPr>
        <w:tblW w:type="auto" w:w="0"/>
        <w:jc w:val="center"/>
        <w:tblLook w:firstColumn="1" w:firstRow="1" w:lastColumn="0" w:lastRow="0" w:noHBand="0" w:noVBand="1" w:val="04A0"/>
      </w:tblPr>
      <w:tblGrid>
        <w:gridCol w:w="2340"/>
        <w:gridCol w:w="2340"/>
        <w:gridCol w:w="2340"/>
        <w:gridCol w:w="2340"/>
      </w:tblGrid>
      <w:tr>
        <w:tc>
          <w:tcPr>
            <w:tcW w:type="dxa" w:w="2340"/>
            <w:shd w:fill="D9D9D9"/>
          </w:tcPr>
          <w:p>
            <w:r>
              <w:rPr>
                <w:rFonts w:ascii="Times New Roman" w:hAnsi="Times New Roman"/>
                <w:b/>
                <w:sz w:val="20"/>
              </w:rPr>
              <w:t>Characteristic</w:t>
            </w:r>
          </w:p>
        </w:tc>
        <w:tc>
          <w:tcPr>
            <w:tcW w:type="dxa" w:w="2340"/>
            <w:shd w:fill="D9D9D9"/>
          </w:tcPr>
          <w:p>
            <w:r>
              <w:rPr>
                <w:rFonts w:ascii="Times New Roman" w:hAnsi="Times New Roman"/>
                <w:b/>
                <w:sz w:val="20"/>
              </w:rPr>
              <w:t>ds003029</w:t>
            </w:r>
          </w:p>
        </w:tc>
        <w:tc>
          <w:tcPr>
            <w:tcW w:type="dxa" w:w="2340"/>
            <w:shd w:fill="D9D9D9"/>
          </w:tcPr>
          <w:p>
            <w:r>
              <w:rPr>
                <w:rFonts w:ascii="Times New Roman" w:hAnsi="Times New Roman"/>
                <w:b/>
                <w:sz w:val="20"/>
              </w:rPr>
              <w:t>ds004100</w:t>
            </w:r>
          </w:p>
        </w:tc>
        <w:tc>
          <w:tcPr>
            <w:tcW w:type="dxa" w:w="2340"/>
            <w:shd w:fill="D9D9D9"/>
          </w:tcPr>
          <w:p>
            <w:r>
              <w:rPr>
                <w:rFonts w:ascii="Times New Roman" w:hAnsi="Times New Roman"/>
                <w:b/>
                <w:sz w:val="20"/>
              </w:rPr>
              <w:t>Combined</w:t>
            </w:r>
          </w:p>
        </w:tc>
      </w:tr>
      <w:tr>
        <w:tc>
          <w:tcPr>
            <w:tcW w:type="dxa" w:w="2340"/>
          </w:tcPr>
          <w:p>
            <w:r>
              <w:rPr>
                <w:rFonts w:ascii="Times New Roman" w:hAnsi="Times New Roman"/>
                <w:sz w:val="20"/>
              </w:rPr>
              <w:t>Patients</w:t>
            </w:r>
          </w:p>
        </w:tc>
        <w:tc>
          <w:tcPr>
            <w:tcW w:type="dxa" w:w="2340"/>
          </w:tcPr>
          <w:p>
            <w:r>
              <w:rPr>
                <w:rFonts w:ascii="Times New Roman" w:hAnsi="Times New Roman"/>
                <w:sz w:val="20"/>
              </w:rPr>
              <w:t>23</w:t>
            </w:r>
          </w:p>
        </w:tc>
        <w:tc>
          <w:tcPr>
            <w:tcW w:type="dxa" w:w="2340"/>
          </w:tcPr>
          <w:p>
            <w:r>
              <w:rPr>
                <w:rFonts w:ascii="Times New Roman" w:hAnsi="Times New Roman"/>
                <w:sz w:val="20"/>
              </w:rPr>
              <w:t>58</w:t>
            </w:r>
          </w:p>
        </w:tc>
        <w:tc>
          <w:tcPr>
            <w:tcW w:type="dxa" w:w="2340"/>
          </w:tcPr>
          <w:p>
            <w:r>
              <w:rPr>
                <w:rFonts w:ascii="Times New Roman" w:hAnsi="Times New Roman"/>
                <w:sz w:val="20"/>
              </w:rPr>
              <w:t>81</w:t>
            </w:r>
          </w:p>
        </w:tc>
      </w:tr>
      <w:tr>
        <w:tc>
          <w:tcPr>
            <w:tcW w:type="dxa" w:w="2340"/>
          </w:tcPr>
          <w:p>
            <w:r>
              <w:rPr>
                <w:rFonts w:ascii="Times New Roman" w:hAnsi="Times New Roman"/>
                <w:sz w:val="20"/>
              </w:rPr>
              <w:t>Recordings</w:t>
            </w:r>
          </w:p>
        </w:tc>
        <w:tc>
          <w:tcPr>
            <w:tcW w:type="dxa" w:w="2340"/>
          </w:tcPr>
          <w:p>
            <w:r>
              <w:rPr>
                <w:rFonts w:ascii="Times New Roman" w:hAnsi="Times New Roman"/>
                <w:sz w:val="20"/>
              </w:rPr>
              <w:t>103</w:t>
            </w:r>
          </w:p>
        </w:tc>
        <w:tc>
          <w:tcPr>
            <w:tcW w:type="dxa" w:w="2340"/>
          </w:tcPr>
          <w:p>
            <w:r>
              <w:rPr>
                <w:rFonts w:ascii="Times New Roman" w:hAnsi="Times New Roman"/>
                <w:sz w:val="20"/>
              </w:rPr>
              <w:t>109</w:t>
            </w:r>
          </w:p>
        </w:tc>
        <w:tc>
          <w:tcPr>
            <w:tcW w:type="dxa" w:w="2340"/>
          </w:tcPr>
          <w:p>
            <w:r>
              <w:rPr>
                <w:rFonts w:ascii="Times New Roman" w:hAnsi="Times New Roman"/>
                <w:sz w:val="20"/>
              </w:rPr>
              <w:t>212</w:t>
            </w:r>
          </w:p>
        </w:tc>
      </w:tr>
      <w:tr>
        <w:tc>
          <w:tcPr>
            <w:tcW w:type="dxa" w:w="2340"/>
          </w:tcPr>
          <w:p>
            <w:r>
              <w:rPr>
                <w:rFonts w:ascii="Times New Roman" w:hAnsi="Times New Roman"/>
                <w:sz w:val="20"/>
              </w:rPr>
              <w:t>Recordings with SOZ</w:t>
            </w:r>
          </w:p>
        </w:tc>
        <w:tc>
          <w:tcPr>
            <w:tcW w:type="dxa" w:w="2340"/>
          </w:tcPr>
          <w:p>
            <w:r>
              <w:rPr>
                <w:rFonts w:ascii="Times New Roman" w:hAnsi="Times New Roman"/>
                <w:sz w:val="20"/>
              </w:rPr>
              <w:t>30</w:t>
            </w:r>
          </w:p>
        </w:tc>
        <w:tc>
          <w:tcPr>
            <w:tcW w:type="dxa" w:w="2340"/>
          </w:tcPr>
          <w:p>
            <w:r>
              <w:rPr>
                <w:rFonts w:ascii="Times New Roman" w:hAnsi="Times New Roman"/>
                <w:sz w:val="20"/>
              </w:rPr>
              <w:t>96</w:t>
            </w:r>
          </w:p>
        </w:tc>
        <w:tc>
          <w:tcPr>
            <w:tcW w:type="dxa" w:w="2340"/>
          </w:tcPr>
          <w:p>
            <w:r>
              <w:rPr>
                <w:rFonts w:ascii="Times New Roman" w:hAnsi="Times New Roman"/>
                <w:sz w:val="20"/>
              </w:rPr>
              <w:t>126</w:t>
            </w:r>
          </w:p>
        </w:tc>
      </w:tr>
      <w:tr>
        <w:tc>
          <w:tcPr>
            <w:tcW w:type="dxa" w:w="2340"/>
          </w:tcPr>
          <w:p>
            <w:r>
              <w:rPr>
                <w:rFonts w:ascii="Times New Roman" w:hAnsi="Times New Roman"/>
                <w:sz w:val="20"/>
              </w:rPr>
              <w:t>Electrode type</w:t>
            </w:r>
          </w:p>
        </w:tc>
        <w:tc>
          <w:tcPr>
            <w:tcW w:type="dxa" w:w="2340"/>
          </w:tcPr>
          <w:p>
            <w:r>
              <w:rPr>
                <w:rFonts w:ascii="Times New Roman" w:hAnsi="Times New Roman"/>
                <w:sz w:val="20"/>
              </w:rPr>
              <w:t>SEEG/ECoG</w:t>
            </w:r>
          </w:p>
        </w:tc>
        <w:tc>
          <w:tcPr>
            <w:tcW w:type="dxa" w:w="2340"/>
          </w:tcPr>
          <w:p>
            <w:r>
              <w:rPr>
                <w:rFonts w:ascii="Times New Roman" w:hAnsi="Times New Roman"/>
                <w:sz w:val="20"/>
              </w:rPr>
              <w:t>SEEG/ECoG</w:t>
            </w:r>
          </w:p>
        </w:tc>
        <w:tc>
          <w:tcPr>
            <w:tcW w:type="dxa" w:w="2340"/>
          </w:tcPr>
          <w:p>
            <w:r>
              <w:rPr>
                <w:rFonts w:ascii="Times New Roman" w:hAnsi="Times New Roman"/>
                <w:sz w:val="20"/>
              </w:rPr>
              <w:t>Mixed</w:t>
            </w:r>
          </w:p>
        </w:tc>
      </w:tr>
      <w:tr>
        <w:tc>
          <w:tcPr>
            <w:tcW w:type="dxa" w:w="2340"/>
          </w:tcPr>
          <w:p>
            <w:r>
              <w:rPr>
                <w:rFonts w:ascii="Times New Roman" w:hAnsi="Times New Roman"/>
                <w:sz w:val="20"/>
              </w:rPr>
              <w:t>Sampling rate</w:t>
            </w:r>
          </w:p>
        </w:tc>
        <w:tc>
          <w:tcPr>
            <w:tcW w:type="dxa" w:w="2340"/>
          </w:tcPr>
          <w:p>
            <w:r>
              <w:rPr>
                <w:rFonts w:ascii="Times New Roman" w:hAnsi="Times New Roman"/>
                <w:sz w:val="20"/>
              </w:rPr>
              <w:t>500-2000 Hz</w:t>
            </w:r>
          </w:p>
        </w:tc>
        <w:tc>
          <w:tcPr>
            <w:tcW w:type="dxa" w:w="2340"/>
          </w:tcPr>
          <w:p>
            <w:r>
              <w:rPr>
                <w:rFonts w:ascii="Times New Roman" w:hAnsi="Times New Roman"/>
                <w:sz w:val="20"/>
              </w:rPr>
              <w:t>500 Hz</w:t>
            </w:r>
          </w:p>
        </w:tc>
        <w:tc>
          <w:tcPr>
            <w:tcW w:type="dxa" w:w="2340"/>
          </w:tcPr>
          <w:p>
            <w:r>
              <w:rPr>
                <w:rFonts w:ascii="Times New Roman" w:hAnsi="Times New Roman"/>
                <w:sz w:val="20"/>
              </w:rPr>
              <w:t>Variable</w:t>
            </w:r>
          </w:p>
        </w:tc>
      </w:tr>
    </w:tbl>
    <w:p/>
    <w:p>
      <w:r>
        <w:rPr>
          <w:rFonts w:ascii="Times New Roman" w:hAnsi="Times New Roman"/>
          <w:b/>
          <w:i/>
        </w:rPr>
        <w:t>2.2 Preprocessing Pipeline</w:t>
      </w:r>
    </w:p>
    <w:p>
      <w:pPr>
        <w:ind w:firstLine="720"/>
        <w:jc w:val="both"/>
      </w:pPr>
      <w:r>
        <w:rPr>
          <w:rFonts w:ascii="Times New Roman" w:hAnsi="Times New Roman"/>
        </w:rPr>
        <w:t>Our preprocessing pipeline consisted of four stages, designed to handle both BrainVision and EDF formats: (1) Epoch extraction: For each recording, we identified the seizure onset time from event annotations and extracted a 60-second epoch centered on this time point. (2) Notch filtering: Line noise at 60 Hz and its harmonics was removed. (3) Common average reference (CAR): We applied CAR by subtracting the mean signal across all electrodes at each time point (Figure 1). (4) Bandpass filtering: An elliptic bandpass filter with cutoffs at 1 Hz and 250 Hz was applied to preserve both low-frequency rhythms and high-frequency oscillations (Figure 2; Jacobs et al., 2012).</w:t>
      </w:r>
    </w:p>
    <w:p>
      <w:pPr>
        <w:jc w:val="center"/>
      </w:pPr>
      <w:r>
        <w:drawing>
          <wp:inline xmlns:a="http://schemas.openxmlformats.org/drawingml/2006/main" xmlns:pic="http://schemas.openxmlformats.org/drawingml/2006/picture">
            <wp:extent cx="5029200" cy="3561243"/>
            <wp:docPr id="1" name="Picture 1"/>
            <wp:cNvGraphicFramePr>
              <a:graphicFrameLocks noChangeAspect="1"/>
            </wp:cNvGraphicFramePr>
            <a:graphic>
              <a:graphicData uri="http://schemas.openxmlformats.org/drawingml/2006/picture">
                <pic:pic>
                  <pic:nvPicPr>
                    <pic:cNvPr id="0" name="preprocessing_demo.png"/>
                    <pic:cNvPicPr/>
                  </pic:nvPicPr>
                  <pic:blipFill>
                    <a:blip r:embed="rId9"/>
                    <a:stretch>
                      <a:fillRect/>
                    </a:stretch>
                  </pic:blipFill>
                  <pic:spPr>
                    <a:xfrm>
                      <a:off x="0" y="0"/>
                      <a:ext cx="5029200" cy="3561243"/>
                    </a:xfrm>
                    <a:prstGeom prst="rect"/>
                  </pic:spPr>
                </pic:pic>
              </a:graphicData>
            </a:graphic>
          </wp:inline>
        </w:drawing>
      </w:r>
    </w:p>
    <w:p>
      <w:pPr>
        <w:jc w:val="center"/>
      </w:pPr>
      <w:r>
        <w:rPr>
          <w:rFonts w:ascii="Times New Roman" w:hAnsi="Times New Roman"/>
          <w:b/>
          <w:sz w:val="20"/>
        </w:rPr>
        <w:t xml:space="preserve">Figure 1. </w:t>
      </w:r>
      <w:r>
        <w:rPr>
          <w:rFonts w:ascii="Times New Roman" w:hAnsi="Times New Roman"/>
          <w:sz w:val="20"/>
        </w:rPr>
        <w:t>Preprocessing pipeline demonstration showing raw signal transformation through each processing stage: (A) raw iEEG signal, (B) after notch filtering at 60 Hz, (C) after common average referencing, and (D) after bandpass filtering (1-250 Hz).</w:t>
      </w:r>
    </w:p>
    <w:p/>
    <w:p>
      <w:pPr>
        <w:jc w:val="center"/>
      </w:pPr>
      <w:r>
        <w:drawing>
          <wp:inline xmlns:a="http://schemas.openxmlformats.org/drawingml/2006/main" xmlns:pic="http://schemas.openxmlformats.org/drawingml/2006/picture">
            <wp:extent cx="5029200" cy="3606257"/>
            <wp:docPr id="2" name="Picture 2"/>
            <wp:cNvGraphicFramePr>
              <a:graphicFrameLocks noChangeAspect="1"/>
            </wp:cNvGraphicFramePr>
            <a:graphic>
              <a:graphicData uri="http://schemas.openxmlformats.org/drawingml/2006/picture">
                <pic:pic>
                  <pic:nvPicPr>
                    <pic:cNvPr id="0" name="bandpass_bands.png"/>
                    <pic:cNvPicPr/>
                  </pic:nvPicPr>
                  <pic:blipFill>
                    <a:blip r:embed="rId10"/>
                    <a:stretch>
                      <a:fillRect/>
                    </a:stretch>
                  </pic:blipFill>
                  <pic:spPr>
                    <a:xfrm>
                      <a:off x="0" y="0"/>
                      <a:ext cx="5029200" cy="3606257"/>
                    </a:xfrm>
                    <a:prstGeom prst="rect"/>
                  </pic:spPr>
                </pic:pic>
              </a:graphicData>
            </a:graphic>
          </wp:inline>
        </w:drawing>
      </w:r>
    </w:p>
    <w:p>
      <w:pPr>
        <w:jc w:val="center"/>
      </w:pPr>
      <w:r>
        <w:rPr>
          <w:rFonts w:ascii="Times New Roman" w:hAnsi="Times New Roman"/>
          <w:b/>
          <w:sz w:val="20"/>
        </w:rPr>
        <w:t xml:space="preserve">Figure 2. </w:t>
      </w:r>
      <w:r>
        <w:rPr>
          <w:rFonts w:ascii="Times New Roman" w:hAnsi="Times New Roman"/>
          <w:sz w:val="20"/>
        </w:rPr>
        <w:t>Bandpass filter frequency response and spectral decomposition showing preserved frequency bands: delta (1-4 Hz), theta (4-8 Hz), alpha (8-12 Hz), beta (15-25 Hz), low gamma (35-50 Hz), and high-frequency oscillations (80-150 Hz).</w:t>
      </w:r>
    </w:p>
    <w:p/>
    <w:p>
      <w:r>
        <w:rPr>
          <w:rFonts w:ascii="Times New Roman" w:hAnsi="Times New Roman"/>
          <w:b/>
          <w:i/>
        </w:rPr>
        <w:t>2.3 Feature Extraction</w:t>
      </w:r>
    </w:p>
    <w:p>
      <w:pPr>
        <w:ind w:firstLine="720"/>
        <w:jc w:val="both"/>
      </w:pPr>
      <w:r>
        <w:rPr>
          <w:rFonts w:ascii="Times New Roman" w:hAnsi="Times New Roman"/>
        </w:rPr>
        <w:t>Preprocessed signals were segmented into non-overlapping 12-second windows. For each window, we computed spectral features (band power in delta, theta, alpha, beta, low gamma, and HFO bands) and statistical features (variance, line length, kurtosis, and skewness). Window-level features were aggregated across time using mean, standard deviation, and maximum, yielding 33 features per electrode. Functional connectivity was quantified using Pearson correlation computed over each window.</w:t>
      </w:r>
    </w:p>
    <w:p>
      <w:r>
        <w:rPr>
          <w:rFonts w:ascii="Times New Roman" w:hAnsi="Times New Roman"/>
          <w:b/>
          <w:i/>
        </w:rPr>
        <w:t>2.4 Graph Construction</w:t>
      </w:r>
    </w:p>
    <w:p>
      <w:pPr>
        <w:ind w:firstLine="720"/>
        <w:jc w:val="both"/>
      </w:pPr>
      <w:r>
        <w:rPr>
          <w:rFonts w:ascii="Times New Roman" w:hAnsi="Times New Roman"/>
        </w:rPr>
        <w:t>Each recording was represented as a graph G = (V, E), where nodes V correspond to electrodes and edges E connect electrode pairs with correlation exceeding a threshold of 0.32 (Figure 3). SOZ labels were assigned at the node level: electrodes clinically identified as within the SOZ were labeled positive, while others were labeled negative. The resulting class distribution was imbalanced, with approximately 24% of electrodes labeled as SOZ.</w:t>
      </w:r>
    </w:p>
    <w:p>
      <w:pPr>
        <w:jc w:val="center"/>
      </w:pPr>
      <w:r>
        <w:drawing>
          <wp:inline xmlns:a="http://schemas.openxmlformats.org/drawingml/2006/main" xmlns:pic="http://schemas.openxmlformats.org/drawingml/2006/picture">
            <wp:extent cx="4114800" cy="3492841"/>
            <wp:docPr id="3" name="Picture 3"/>
            <wp:cNvGraphicFramePr>
              <a:graphicFrameLocks noChangeAspect="1"/>
            </wp:cNvGraphicFramePr>
            <a:graphic>
              <a:graphicData uri="http://schemas.openxmlformats.org/drawingml/2006/picture">
                <pic:pic>
                  <pic:nvPicPr>
                    <pic:cNvPr id="0" name="graph_demo.png"/>
                    <pic:cNvPicPr/>
                  </pic:nvPicPr>
                  <pic:blipFill>
                    <a:blip r:embed="rId11"/>
                    <a:stretch>
                      <a:fillRect/>
                    </a:stretch>
                  </pic:blipFill>
                  <pic:spPr>
                    <a:xfrm>
                      <a:off x="0" y="0"/>
                      <a:ext cx="4114800" cy="3492841"/>
                    </a:xfrm>
                    <a:prstGeom prst="rect"/>
                  </pic:spPr>
                </pic:pic>
              </a:graphicData>
            </a:graphic>
          </wp:inline>
        </w:drawing>
      </w:r>
    </w:p>
    <w:p>
      <w:pPr>
        <w:jc w:val="center"/>
      </w:pPr>
      <w:r>
        <w:rPr>
          <w:rFonts w:ascii="Times New Roman" w:hAnsi="Times New Roman"/>
          <w:b/>
          <w:sz w:val="20"/>
        </w:rPr>
        <w:t xml:space="preserve">Figure 3. </w:t>
      </w:r>
      <w:r>
        <w:rPr>
          <w:rFonts w:ascii="Times New Roman" w:hAnsi="Times New Roman"/>
          <w:sz w:val="20"/>
        </w:rPr>
        <w:t>Example graph construction from iEEG electrode array. Nodes represent individual electrodes colored by SOZ label (red = SOZ, blue = non-SOZ), and edges represent functional connectivity between electrode pairs exceeding the correlation threshold of 0.32.</w:t>
      </w:r>
    </w:p>
    <w:p/>
    <w:p>
      <w:r>
        <w:rPr>
          <w:rFonts w:ascii="Times New Roman" w:hAnsi="Times New Roman"/>
          <w:b/>
          <w:i/>
        </w:rPr>
        <w:t>2.5 Model Architecture</w:t>
      </w:r>
    </w:p>
    <w:p>
      <w:pPr>
        <w:ind w:firstLine="720"/>
        <w:jc w:val="both"/>
      </w:pPr>
      <w:r>
        <w:rPr>
          <w:rFonts w:ascii="Times New Roman" w:hAnsi="Times New Roman"/>
        </w:rPr>
        <w:t>We employed a GraphSAGE architecture (Hamilton et al., 2017), which learns node embeddings by aggregating features from local neighborhoods. Our encoder consisted of two GraphSAGE convolutional layers with batch normalization, using a hidden dimension of 128 and dropout rate of 0.21. The node classification head consisted of a two-layer multilayer perceptron with hidden dimension 64, dropout rate of 0.55, and sigmoid output activation.</w:t>
      </w:r>
    </w:p>
    <w:p>
      <w:r>
        <w:rPr>
          <w:rFonts w:ascii="Times New Roman" w:hAnsi="Times New Roman"/>
          <w:b/>
          <w:i/>
        </w:rPr>
        <w:t>2.6 Training Strategy</w:t>
      </w:r>
    </w:p>
    <w:p>
      <w:pPr>
        <w:ind w:firstLine="720"/>
        <w:jc w:val="both"/>
      </w:pPr>
      <w:r>
        <w:rPr>
          <w:rFonts w:ascii="Times New Roman" w:hAnsi="Times New Roman"/>
        </w:rPr>
        <w:t>To leverage unlabeled recordings, we pretrained the GNN encoder using a signal forecasting task, predicting features at window t+1 from window t. The pretrained encoder was then fine-tuned for SOZ classification using binary cross-entropy loss with class weights. During training, we applied online augmentation including edge dropout (7.6%), Gaussian feature noise (σ = 0.011), and random feature masking (10%). We used AdamW optimizer with cosine annealing and early stopping based on validation AUC.</w:t>
      </w:r>
    </w:p>
    <w:p>
      <w:r>
        <w:rPr>
          <w:rFonts w:ascii="Times New Roman" w:hAnsi="Times New Roman"/>
          <w:b/>
          <w:i/>
        </w:rPr>
        <w:t>2.7 Experimental Setup</w:t>
      </w:r>
    </w:p>
    <w:p>
      <w:pPr>
        <w:ind w:firstLine="720"/>
        <w:jc w:val="both"/>
      </w:pPr>
      <w:r>
        <w:rPr>
          <w:rFonts w:ascii="Times New Roman" w:hAnsi="Times New Roman"/>
        </w:rPr>
        <w:t>Data were split at the subject level to prevent information leakage, with 60% for training, 20% for validation, and 20% for testing (70 training, 36 validation, 20 test graphs). We compared GraphSAGE, Graph Attention Network (GAT), and Graph Isomorphism Network (GIN). Hyperparameters were optimized using Optuna with 50 Bayesian optimization trials (Figure 4). Model performance was evaluated using AUC, F1 score, precision, and recall.</w:t>
      </w:r>
    </w:p>
    <w:p>
      <w:pPr>
        <w:jc w:val="center"/>
      </w:pPr>
      <w:r>
        <w:drawing>
          <wp:inline xmlns:a="http://schemas.openxmlformats.org/drawingml/2006/main" xmlns:pic="http://schemas.openxmlformats.org/drawingml/2006/picture">
            <wp:extent cx="4572000" cy="1605251"/>
            <wp:docPr id="4" name="Picture 4"/>
            <wp:cNvGraphicFramePr>
              <a:graphicFrameLocks noChangeAspect="1"/>
            </wp:cNvGraphicFramePr>
            <a:graphic>
              <a:graphicData uri="http://schemas.openxmlformats.org/drawingml/2006/picture">
                <pic:pic>
                  <pic:nvPicPr>
                    <pic:cNvPr id="0" name="optuna_optimization.png"/>
                    <pic:cNvPicPr/>
                  </pic:nvPicPr>
                  <pic:blipFill>
                    <a:blip r:embed="rId12"/>
                    <a:stretch>
                      <a:fillRect/>
                    </a:stretch>
                  </pic:blipFill>
                  <pic:spPr>
                    <a:xfrm>
                      <a:off x="0" y="0"/>
                      <a:ext cx="4572000" cy="1605251"/>
                    </a:xfrm>
                    <a:prstGeom prst="rect"/>
                  </pic:spPr>
                </pic:pic>
              </a:graphicData>
            </a:graphic>
          </wp:inline>
        </w:drawing>
      </w:r>
    </w:p>
    <w:p>
      <w:pPr>
        <w:jc w:val="center"/>
      </w:pPr>
      <w:r>
        <w:rPr>
          <w:rFonts w:ascii="Times New Roman" w:hAnsi="Times New Roman"/>
          <w:b/>
          <w:sz w:val="20"/>
        </w:rPr>
        <w:t xml:space="preserve">Figure 4. </w:t>
      </w:r>
      <w:r>
        <w:rPr>
          <w:rFonts w:ascii="Times New Roman" w:hAnsi="Times New Roman"/>
          <w:sz w:val="20"/>
        </w:rPr>
        <w:t>Optuna hyperparameter optimization history showing convergence of the Bayesian search across 50 trials. The optimization targeted validation AUC, with best trial achieving optimal hyperparameter configuration.</w:t>
      </w:r>
    </w:p>
    <w:p/>
    <w:p>
      <w:r>
        <w:rPr>
          <w:rFonts w:ascii="Times New Roman" w:hAnsi="Times New Roman"/>
          <w:b/>
          <w:sz w:val="24"/>
        </w:rPr>
        <w:t>3. Results</w:t>
      </w:r>
    </w:p>
    <w:p>
      <w:r>
        <w:rPr>
          <w:rFonts w:ascii="Times New Roman" w:hAnsi="Times New Roman"/>
          <w:b/>
          <w:i/>
        </w:rPr>
        <w:t>3.1 Architecture Comparison</w:t>
      </w:r>
    </w:p>
    <w:p>
      <w:pPr>
        <w:ind w:firstLine="720"/>
        <w:jc w:val="both"/>
      </w:pPr>
      <w:r>
        <w:rPr>
          <w:rFonts w:ascii="Times New Roman" w:hAnsi="Times New Roman"/>
        </w:rPr>
        <w:t>Table 2 presents the performance of different GNN architectures on the single-dataset (ds003029) benchmark. GraphSAGE achieved the best test AUC of 0.730 after hyperparameter tuning, outperforming both GAT (0.702) and GIN (0.562).</w:t>
      </w:r>
    </w:p>
    <w:p>
      <w:pPr>
        <w:jc w:val="center"/>
      </w:pPr>
      <w:r>
        <w:rPr>
          <w:rFonts w:ascii="Times New Roman" w:hAnsi="Times New Roman"/>
          <w:b/>
        </w:rPr>
        <w:t xml:space="preserve">Table 2. </w:t>
      </w:r>
      <w:r>
        <w:rPr>
          <w:rFonts w:ascii="Times New Roman" w:hAnsi="Times New Roman"/>
        </w:rPr>
        <w:t>Performance comparison of GNN architectures (ds003029 only)</w:t>
      </w:r>
    </w:p>
    <w:tbl>
      <w:tblPr>
        <w:tblW w:type="auto" w:w="0"/>
        <w:jc w:val="center"/>
        <w:tblLook w:firstColumn="1" w:firstRow="1" w:lastColumn="0" w:lastRow="0" w:noHBand="0" w:noVBand="1" w:val="04A0"/>
      </w:tblPr>
      <w:tblGrid>
        <w:gridCol w:w="2340"/>
        <w:gridCol w:w="2340"/>
        <w:gridCol w:w="2340"/>
        <w:gridCol w:w="2340"/>
      </w:tblGrid>
      <w:tr>
        <w:tc>
          <w:tcPr>
            <w:tcW w:type="dxa" w:w="2340"/>
            <w:shd w:fill="D9D9D9"/>
          </w:tcPr>
          <w:p>
            <w:r>
              <w:rPr>
                <w:rFonts w:ascii="Times New Roman" w:hAnsi="Times New Roman"/>
                <w:b/>
                <w:sz w:val="20"/>
              </w:rPr>
              <w:t>Architecture</w:t>
            </w:r>
          </w:p>
        </w:tc>
        <w:tc>
          <w:tcPr>
            <w:tcW w:type="dxa" w:w="2340"/>
            <w:shd w:fill="D9D9D9"/>
          </w:tcPr>
          <w:p>
            <w:r>
              <w:rPr>
                <w:rFonts w:ascii="Times New Roman" w:hAnsi="Times New Roman"/>
                <w:b/>
                <w:sz w:val="20"/>
              </w:rPr>
              <w:t>Val AUC</w:t>
            </w:r>
          </w:p>
        </w:tc>
        <w:tc>
          <w:tcPr>
            <w:tcW w:type="dxa" w:w="2340"/>
            <w:shd w:fill="D9D9D9"/>
          </w:tcPr>
          <w:p>
            <w:r>
              <w:rPr>
                <w:rFonts w:ascii="Times New Roman" w:hAnsi="Times New Roman"/>
                <w:b/>
                <w:sz w:val="20"/>
              </w:rPr>
              <w:t>Test AUC</w:t>
            </w:r>
          </w:p>
        </w:tc>
        <w:tc>
          <w:tcPr>
            <w:tcW w:type="dxa" w:w="2340"/>
            <w:shd w:fill="D9D9D9"/>
          </w:tcPr>
          <w:p>
            <w:r>
              <w:rPr>
                <w:rFonts w:ascii="Times New Roman" w:hAnsi="Times New Roman"/>
                <w:b/>
                <w:sz w:val="20"/>
              </w:rPr>
              <w:t>Test F1</w:t>
            </w:r>
          </w:p>
        </w:tc>
      </w:tr>
      <w:tr>
        <w:tc>
          <w:tcPr>
            <w:tcW w:type="dxa" w:w="2340"/>
          </w:tcPr>
          <w:p>
            <w:r>
              <w:rPr>
                <w:rFonts w:ascii="Times New Roman" w:hAnsi="Times New Roman"/>
                <w:sz w:val="20"/>
              </w:rPr>
              <w:t>GraphSAGE (baseline)</w:t>
            </w:r>
          </w:p>
        </w:tc>
        <w:tc>
          <w:tcPr>
            <w:tcW w:type="dxa" w:w="2340"/>
          </w:tcPr>
          <w:p>
            <w:r>
              <w:rPr>
                <w:rFonts w:ascii="Times New Roman" w:hAnsi="Times New Roman"/>
                <w:sz w:val="20"/>
              </w:rPr>
              <w:t>0.920</w:t>
            </w:r>
          </w:p>
        </w:tc>
        <w:tc>
          <w:tcPr>
            <w:tcW w:type="dxa" w:w="2340"/>
          </w:tcPr>
          <w:p>
            <w:r>
              <w:rPr>
                <w:rFonts w:ascii="Times New Roman" w:hAnsi="Times New Roman"/>
                <w:sz w:val="20"/>
              </w:rPr>
              <w:t>0.697</w:t>
            </w:r>
          </w:p>
        </w:tc>
        <w:tc>
          <w:tcPr>
            <w:tcW w:type="dxa" w:w="2340"/>
          </w:tcPr>
          <w:p>
            <w:r>
              <w:rPr>
                <w:rFonts w:ascii="Times New Roman" w:hAnsi="Times New Roman"/>
                <w:sz w:val="20"/>
              </w:rPr>
              <w:t>0.478</w:t>
            </w:r>
          </w:p>
        </w:tc>
      </w:tr>
      <w:tr>
        <w:tc>
          <w:tcPr>
            <w:tcW w:type="dxa" w:w="2340"/>
          </w:tcPr>
          <w:p>
            <w:r>
              <w:rPr>
                <w:rFonts w:ascii="Times New Roman" w:hAnsi="Times New Roman"/>
                <w:sz w:val="20"/>
              </w:rPr>
              <w:t>GraphSAGE (tuned)</w:t>
            </w:r>
          </w:p>
        </w:tc>
        <w:tc>
          <w:tcPr>
            <w:tcW w:type="dxa" w:w="2340"/>
          </w:tcPr>
          <w:p>
            <w:r>
              <w:rPr>
                <w:rFonts w:ascii="Times New Roman" w:hAnsi="Times New Roman"/>
                <w:sz w:val="20"/>
              </w:rPr>
              <w:t>0.983</w:t>
            </w:r>
          </w:p>
        </w:tc>
        <w:tc>
          <w:tcPr>
            <w:tcW w:type="dxa" w:w="2340"/>
          </w:tcPr>
          <w:p>
            <w:r>
              <w:rPr>
                <w:rFonts w:ascii="Times New Roman" w:hAnsi="Times New Roman"/>
                <w:sz w:val="20"/>
              </w:rPr>
              <w:t>0.730</w:t>
            </w:r>
          </w:p>
        </w:tc>
        <w:tc>
          <w:tcPr>
            <w:tcW w:type="dxa" w:w="2340"/>
          </w:tcPr>
          <w:p>
            <w:r>
              <w:rPr>
                <w:rFonts w:ascii="Times New Roman" w:hAnsi="Times New Roman"/>
                <w:sz w:val="20"/>
              </w:rPr>
              <w:t>0.404</w:t>
            </w:r>
          </w:p>
        </w:tc>
      </w:tr>
      <w:tr>
        <w:tc>
          <w:tcPr>
            <w:tcW w:type="dxa" w:w="2340"/>
          </w:tcPr>
          <w:p>
            <w:r>
              <w:rPr>
                <w:rFonts w:ascii="Times New Roman" w:hAnsi="Times New Roman"/>
                <w:sz w:val="20"/>
              </w:rPr>
              <w:t>GAT (tuned)</w:t>
            </w:r>
          </w:p>
        </w:tc>
        <w:tc>
          <w:tcPr>
            <w:tcW w:type="dxa" w:w="2340"/>
          </w:tcPr>
          <w:p>
            <w:r>
              <w:rPr>
                <w:rFonts w:ascii="Times New Roman" w:hAnsi="Times New Roman"/>
                <w:sz w:val="20"/>
              </w:rPr>
              <w:t>0.925</w:t>
            </w:r>
          </w:p>
        </w:tc>
        <w:tc>
          <w:tcPr>
            <w:tcW w:type="dxa" w:w="2340"/>
          </w:tcPr>
          <w:p>
            <w:r>
              <w:rPr>
                <w:rFonts w:ascii="Times New Roman" w:hAnsi="Times New Roman"/>
                <w:sz w:val="20"/>
              </w:rPr>
              <w:t>0.702</w:t>
            </w:r>
          </w:p>
        </w:tc>
        <w:tc>
          <w:tcPr>
            <w:tcW w:type="dxa" w:w="2340"/>
          </w:tcPr>
          <w:p>
            <w:r>
              <w:rPr>
                <w:rFonts w:ascii="Times New Roman" w:hAnsi="Times New Roman"/>
                <w:sz w:val="20"/>
              </w:rPr>
              <w:t>0.411</w:t>
            </w:r>
          </w:p>
        </w:tc>
      </w:tr>
      <w:tr>
        <w:tc>
          <w:tcPr>
            <w:tcW w:type="dxa" w:w="2340"/>
          </w:tcPr>
          <w:p>
            <w:r>
              <w:rPr>
                <w:rFonts w:ascii="Times New Roman" w:hAnsi="Times New Roman"/>
                <w:sz w:val="20"/>
              </w:rPr>
              <w:t>GIN</w:t>
            </w:r>
          </w:p>
        </w:tc>
        <w:tc>
          <w:tcPr>
            <w:tcW w:type="dxa" w:w="2340"/>
          </w:tcPr>
          <w:p>
            <w:r>
              <w:rPr>
                <w:rFonts w:ascii="Times New Roman" w:hAnsi="Times New Roman"/>
                <w:sz w:val="20"/>
              </w:rPr>
              <w:t>0.660</w:t>
            </w:r>
          </w:p>
        </w:tc>
        <w:tc>
          <w:tcPr>
            <w:tcW w:type="dxa" w:w="2340"/>
          </w:tcPr>
          <w:p>
            <w:r>
              <w:rPr>
                <w:rFonts w:ascii="Times New Roman" w:hAnsi="Times New Roman"/>
                <w:sz w:val="20"/>
              </w:rPr>
              <w:t>0.562</w:t>
            </w:r>
          </w:p>
        </w:tc>
        <w:tc>
          <w:tcPr>
            <w:tcW w:type="dxa" w:w="2340"/>
          </w:tcPr>
          <w:p>
            <w:r>
              <w:rPr>
                <w:rFonts w:ascii="Times New Roman" w:hAnsi="Times New Roman"/>
                <w:sz w:val="20"/>
              </w:rPr>
              <w:t>0.000</w:t>
            </w:r>
          </w:p>
        </w:tc>
      </w:tr>
    </w:tbl>
    <w:p/>
    <w:p>
      <w:r>
        <w:rPr>
          <w:rFonts w:ascii="Times New Roman" w:hAnsi="Times New Roman"/>
          <w:b/>
          <w:i/>
        </w:rPr>
        <w:t>3.2 Data Augmentation Analysis</w:t>
      </w:r>
    </w:p>
    <w:p>
      <w:pPr>
        <w:ind w:firstLine="720"/>
        <w:jc w:val="both"/>
      </w:pPr>
      <w:r>
        <w:rPr>
          <w:rFonts w:ascii="Times New Roman" w:hAnsi="Times New Roman"/>
        </w:rPr>
        <w:t>We systematically evaluated multiple augmentation strategies (Table 3). Online augmentation improved test AUC from 0.730 to 0.761, a 4.2% relative improvement. Time-shift augmentation, mixup, and SMOTE did not provide benefits.</w:t>
      </w:r>
    </w:p>
    <w:p>
      <w:pPr>
        <w:jc w:val="center"/>
      </w:pPr>
      <w:r>
        <w:rPr>
          <w:rFonts w:ascii="Times New Roman" w:hAnsi="Times New Roman"/>
          <w:b/>
        </w:rPr>
        <w:t xml:space="preserve">Table 3. </w:t>
      </w:r>
      <w:r>
        <w:rPr>
          <w:rFonts w:ascii="Times New Roman" w:hAnsi="Times New Roman"/>
        </w:rPr>
        <w:t>Effect of data augmentation techniques</w:t>
      </w:r>
    </w:p>
    <w:tbl>
      <w:tblPr>
        <w:tblW w:type="auto" w:w="0"/>
        <w:jc w:val="center"/>
        <w:tblLook w:firstColumn="1" w:firstRow="1" w:lastColumn="0" w:lastRow="0" w:noHBand="0" w:noVBand="1" w:val="04A0"/>
      </w:tblPr>
      <w:tblGrid>
        <w:gridCol w:w="3120"/>
        <w:gridCol w:w="3120"/>
        <w:gridCol w:w="3120"/>
      </w:tblGrid>
      <w:tr>
        <w:tc>
          <w:tcPr>
            <w:tcW w:type="dxa" w:w="3120"/>
            <w:shd w:fill="D9D9D9"/>
          </w:tcPr>
          <w:p>
            <w:r>
              <w:rPr>
                <w:rFonts w:ascii="Times New Roman" w:hAnsi="Times New Roman"/>
                <w:b/>
                <w:sz w:val="20"/>
              </w:rPr>
              <w:t>Technique</w:t>
            </w:r>
          </w:p>
        </w:tc>
        <w:tc>
          <w:tcPr>
            <w:tcW w:type="dxa" w:w="3120"/>
            <w:shd w:fill="D9D9D9"/>
          </w:tcPr>
          <w:p>
            <w:r>
              <w:rPr>
                <w:rFonts w:ascii="Times New Roman" w:hAnsi="Times New Roman"/>
                <w:b/>
                <w:sz w:val="20"/>
              </w:rPr>
              <w:t>Test AUC</w:t>
            </w:r>
          </w:p>
        </w:tc>
        <w:tc>
          <w:tcPr>
            <w:tcW w:type="dxa" w:w="3120"/>
            <w:shd w:fill="D9D9D9"/>
          </w:tcPr>
          <w:p>
            <w:r>
              <w:rPr>
                <w:rFonts w:ascii="Times New Roman" w:hAnsi="Times New Roman"/>
                <w:b/>
                <w:sz w:val="20"/>
              </w:rPr>
              <w:t>Change</w:t>
            </w:r>
          </w:p>
        </w:tc>
      </w:tr>
      <w:tr>
        <w:tc>
          <w:tcPr>
            <w:tcW w:type="dxa" w:w="3120"/>
          </w:tcPr>
          <w:p>
            <w:r>
              <w:rPr>
                <w:rFonts w:ascii="Times New Roman" w:hAnsi="Times New Roman"/>
                <w:sz w:val="20"/>
              </w:rPr>
              <w:t>None (baseline)</w:t>
            </w:r>
          </w:p>
        </w:tc>
        <w:tc>
          <w:tcPr>
            <w:tcW w:type="dxa" w:w="3120"/>
          </w:tcPr>
          <w:p>
            <w:r>
              <w:rPr>
                <w:rFonts w:ascii="Times New Roman" w:hAnsi="Times New Roman"/>
                <w:sz w:val="20"/>
              </w:rPr>
              <w:t>0.730</w:t>
            </w:r>
          </w:p>
        </w:tc>
        <w:tc>
          <w:tcPr>
            <w:tcW w:type="dxa" w:w="3120"/>
          </w:tcPr>
          <w:p>
            <w:r>
              <w:rPr>
                <w:rFonts w:ascii="Times New Roman" w:hAnsi="Times New Roman"/>
                <w:sz w:val="20"/>
              </w:rPr>
              <w:t>—</w:t>
            </w:r>
          </w:p>
        </w:tc>
      </w:tr>
      <w:tr>
        <w:tc>
          <w:tcPr>
            <w:tcW w:type="dxa" w:w="3120"/>
          </w:tcPr>
          <w:p>
            <w:r>
              <w:rPr>
                <w:rFonts w:ascii="Times New Roman" w:hAnsi="Times New Roman"/>
                <w:sz w:val="20"/>
              </w:rPr>
              <w:t>Online augmentation</w:t>
            </w:r>
          </w:p>
        </w:tc>
        <w:tc>
          <w:tcPr>
            <w:tcW w:type="dxa" w:w="3120"/>
          </w:tcPr>
          <w:p>
            <w:r>
              <w:rPr>
                <w:rFonts w:ascii="Times New Roman" w:hAnsi="Times New Roman"/>
                <w:sz w:val="20"/>
              </w:rPr>
              <w:t>0.761</w:t>
            </w:r>
          </w:p>
        </w:tc>
        <w:tc>
          <w:tcPr>
            <w:tcW w:type="dxa" w:w="3120"/>
          </w:tcPr>
          <w:p>
            <w:r>
              <w:rPr>
                <w:rFonts w:ascii="Times New Roman" w:hAnsi="Times New Roman"/>
                <w:sz w:val="20"/>
              </w:rPr>
              <w:t>+4.2%</w:t>
            </w:r>
          </w:p>
        </w:tc>
      </w:tr>
      <w:tr>
        <w:tc>
          <w:tcPr>
            <w:tcW w:type="dxa" w:w="3120"/>
          </w:tcPr>
          <w:p>
            <w:r>
              <w:rPr>
                <w:rFonts w:ascii="Times New Roman" w:hAnsi="Times New Roman"/>
                <w:sz w:val="20"/>
              </w:rPr>
              <w:t>Time-shift</w:t>
            </w:r>
          </w:p>
        </w:tc>
        <w:tc>
          <w:tcPr>
            <w:tcW w:type="dxa" w:w="3120"/>
          </w:tcPr>
          <w:p>
            <w:r>
              <w:rPr>
                <w:rFonts w:ascii="Times New Roman" w:hAnsi="Times New Roman"/>
                <w:sz w:val="20"/>
              </w:rPr>
              <w:t>0.718</w:t>
            </w:r>
          </w:p>
        </w:tc>
        <w:tc>
          <w:tcPr>
            <w:tcW w:type="dxa" w:w="3120"/>
          </w:tcPr>
          <w:p>
            <w:r>
              <w:rPr>
                <w:rFonts w:ascii="Times New Roman" w:hAnsi="Times New Roman"/>
                <w:sz w:val="20"/>
              </w:rPr>
              <w:t>-1.6%</w:t>
            </w:r>
          </w:p>
        </w:tc>
      </w:tr>
      <w:tr>
        <w:tc>
          <w:tcPr>
            <w:tcW w:type="dxa" w:w="3120"/>
          </w:tcPr>
          <w:p>
            <w:r>
              <w:rPr>
                <w:rFonts w:ascii="Times New Roman" w:hAnsi="Times New Roman"/>
                <w:sz w:val="20"/>
              </w:rPr>
              <w:t>Mixup</w:t>
            </w:r>
          </w:p>
        </w:tc>
        <w:tc>
          <w:tcPr>
            <w:tcW w:type="dxa" w:w="3120"/>
          </w:tcPr>
          <w:p>
            <w:r>
              <w:rPr>
                <w:rFonts w:ascii="Times New Roman" w:hAnsi="Times New Roman"/>
                <w:sz w:val="20"/>
              </w:rPr>
              <w:t>0.731</w:t>
            </w:r>
          </w:p>
        </w:tc>
        <w:tc>
          <w:tcPr>
            <w:tcW w:type="dxa" w:w="3120"/>
          </w:tcPr>
          <w:p>
            <w:r>
              <w:rPr>
                <w:rFonts w:ascii="Times New Roman" w:hAnsi="Times New Roman"/>
                <w:sz w:val="20"/>
              </w:rPr>
              <w:t>+0.1%</w:t>
            </w:r>
          </w:p>
        </w:tc>
      </w:tr>
      <w:tr>
        <w:tc>
          <w:tcPr>
            <w:tcW w:type="dxa" w:w="3120"/>
          </w:tcPr>
          <w:p>
            <w:r>
              <w:rPr>
                <w:rFonts w:ascii="Times New Roman" w:hAnsi="Times New Roman"/>
                <w:sz w:val="20"/>
              </w:rPr>
              <w:t>SMOTE</w:t>
            </w:r>
          </w:p>
        </w:tc>
        <w:tc>
          <w:tcPr>
            <w:tcW w:type="dxa" w:w="3120"/>
          </w:tcPr>
          <w:p>
            <w:r>
              <w:rPr>
                <w:rFonts w:ascii="Times New Roman" w:hAnsi="Times New Roman"/>
                <w:sz w:val="20"/>
              </w:rPr>
              <w:t>0.696</w:t>
            </w:r>
          </w:p>
        </w:tc>
        <w:tc>
          <w:tcPr>
            <w:tcW w:type="dxa" w:w="3120"/>
          </w:tcPr>
          <w:p>
            <w:r>
              <w:rPr>
                <w:rFonts w:ascii="Times New Roman" w:hAnsi="Times New Roman"/>
                <w:sz w:val="20"/>
              </w:rPr>
              <w:t>-4.7%</w:t>
            </w:r>
          </w:p>
        </w:tc>
      </w:tr>
    </w:tbl>
    <w:p/>
    <w:p>
      <w:r>
        <w:rPr>
          <w:rFonts w:ascii="Times New Roman" w:hAnsi="Times New Roman"/>
          <w:b/>
          <w:i/>
        </w:rPr>
        <w:t>3.3 Combined Dataset Performance</w:t>
      </w:r>
    </w:p>
    <w:p>
      <w:pPr>
        <w:ind w:firstLine="720"/>
        <w:jc w:val="both"/>
      </w:pPr>
      <w:r>
        <w:rPr>
          <w:rFonts w:ascii="Times New Roman" w:hAnsi="Times New Roman"/>
        </w:rPr>
        <w:t>Combining the two datasets substantially increased training data and improved model performance. The final model achieved a test AUC of 0.768, with notably high recall of 0.650 (Table 4, Figure 5).</w:t>
      </w:r>
    </w:p>
    <w:p>
      <w:pPr>
        <w:jc w:val="center"/>
      </w:pPr>
      <w:r>
        <w:rPr>
          <w:rFonts w:ascii="Times New Roman" w:hAnsi="Times New Roman"/>
          <w:b/>
        </w:rPr>
        <w:t xml:space="preserve">Table 4. </w:t>
      </w:r>
      <w:r>
        <w:rPr>
          <w:rFonts w:ascii="Times New Roman" w:hAnsi="Times New Roman"/>
        </w:rPr>
        <w:t>Performance on combined dataset</w:t>
      </w:r>
    </w:p>
    <w:tbl>
      <w:tblPr>
        <w:tblW w:type="auto" w:w="0"/>
        <w:jc w:val="center"/>
        <w:tblLook w:firstColumn="1" w:firstRow="1" w:lastColumn="0" w:lastRow="0" w:noHBand="0" w:noVBand="1" w:val="04A0"/>
      </w:tblPr>
      <w:tblGrid>
        <w:gridCol w:w="4680"/>
        <w:gridCol w:w="4680"/>
      </w:tblGrid>
      <w:tr>
        <w:tc>
          <w:tcPr>
            <w:tcW w:type="dxa" w:w="4680"/>
            <w:shd w:fill="D9D9D9"/>
          </w:tcPr>
          <w:p>
            <w:r>
              <w:rPr>
                <w:rFonts w:ascii="Times New Roman" w:hAnsi="Times New Roman"/>
                <w:b/>
                <w:sz w:val="20"/>
              </w:rPr>
              <w:t>Metric</w:t>
            </w:r>
          </w:p>
        </w:tc>
        <w:tc>
          <w:tcPr>
            <w:tcW w:type="dxa" w:w="4680"/>
            <w:shd w:fill="D9D9D9"/>
          </w:tcPr>
          <w:p>
            <w:r>
              <w:rPr>
                <w:rFonts w:ascii="Times New Roman" w:hAnsi="Times New Roman"/>
                <w:b/>
                <w:sz w:val="20"/>
              </w:rPr>
              <w:t>Value</w:t>
            </w:r>
          </w:p>
        </w:tc>
      </w:tr>
      <w:tr>
        <w:tc>
          <w:tcPr>
            <w:tcW w:type="dxa" w:w="4680"/>
          </w:tcPr>
          <w:p>
            <w:r>
              <w:rPr>
                <w:rFonts w:ascii="Times New Roman" w:hAnsi="Times New Roman"/>
                <w:sz w:val="20"/>
              </w:rPr>
              <w:t>Validation AUC</w:t>
            </w:r>
          </w:p>
        </w:tc>
        <w:tc>
          <w:tcPr>
            <w:tcW w:type="dxa" w:w="4680"/>
          </w:tcPr>
          <w:p>
            <w:r>
              <w:rPr>
                <w:rFonts w:ascii="Times New Roman" w:hAnsi="Times New Roman"/>
                <w:sz w:val="20"/>
              </w:rPr>
              <w:t>0.751</w:t>
            </w:r>
          </w:p>
        </w:tc>
      </w:tr>
      <w:tr>
        <w:tc>
          <w:tcPr>
            <w:tcW w:type="dxa" w:w="4680"/>
          </w:tcPr>
          <w:p>
            <w:r>
              <w:rPr>
                <w:rFonts w:ascii="Times New Roman" w:hAnsi="Times New Roman"/>
                <w:sz w:val="20"/>
              </w:rPr>
              <w:t>Test AUC</w:t>
            </w:r>
          </w:p>
        </w:tc>
        <w:tc>
          <w:tcPr>
            <w:tcW w:type="dxa" w:w="4680"/>
          </w:tcPr>
          <w:p>
            <w:r>
              <w:rPr>
                <w:rFonts w:ascii="Times New Roman" w:hAnsi="Times New Roman"/>
                <w:sz w:val="20"/>
              </w:rPr>
              <w:t>0.768</w:t>
            </w:r>
          </w:p>
        </w:tc>
      </w:tr>
      <w:tr>
        <w:tc>
          <w:tcPr>
            <w:tcW w:type="dxa" w:w="4680"/>
          </w:tcPr>
          <w:p>
            <w:r>
              <w:rPr>
                <w:rFonts w:ascii="Times New Roman" w:hAnsi="Times New Roman"/>
                <w:sz w:val="20"/>
              </w:rPr>
              <w:t>Test F1</w:t>
            </w:r>
          </w:p>
        </w:tc>
        <w:tc>
          <w:tcPr>
            <w:tcW w:type="dxa" w:w="4680"/>
          </w:tcPr>
          <w:p>
            <w:r>
              <w:rPr>
                <w:rFonts w:ascii="Times New Roman" w:hAnsi="Times New Roman"/>
                <w:sz w:val="20"/>
              </w:rPr>
              <w:t>0.296</w:t>
            </w:r>
          </w:p>
        </w:tc>
      </w:tr>
      <w:tr>
        <w:tc>
          <w:tcPr>
            <w:tcW w:type="dxa" w:w="4680"/>
          </w:tcPr>
          <w:p>
            <w:r>
              <w:rPr>
                <w:rFonts w:ascii="Times New Roman" w:hAnsi="Times New Roman"/>
                <w:sz w:val="20"/>
              </w:rPr>
              <w:t>Test Precision</w:t>
            </w:r>
          </w:p>
        </w:tc>
        <w:tc>
          <w:tcPr>
            <w:tcW w:type="dxa" w:w="4680"/>
          </w:tcPr>
          <w:p>
            <w:r>
              <w:rPr>
                <w:rFonts w:ascii="Times New Roman" w:hAnsi="Times New Roman"/>
                <w:sz w:val="20"/>
              </w:rPr>
              <w:t>0.192</w:t>
            </w:r>
          </w:p>
        </w:tc>
      </w:tr>
      <w:tr>
        <w:tc>
          <w:tcPr>
            <w:tcW w:type="dxa" w:w="4680"/>
          </w:tcPr>
          <w:p>
            <w:r>
              <w:rPr>
                <w:rFonts w:ascii="Times New Roman" w:hAnsi="Times New Roman"/>
                <w:sz w:val="20"/>
              </w:rPr>
              <w:t>Test Recall</w:t>
            </w:r>
          </w:p>
        </w:tc>
        <w:tc>
          <w:tcPr>
            <w:tcW w:type="dxa" w:w="4680"/>
          </w:tcPr>
          <w:p>
            <w:r>
              <w:rPr>
                <w:rFonts w:ascii="Times New Roman" w:hAnsi="Times New Roman"/>
                <w:sz w:val="20"/>
              </w:rPr>
              <w:t>0.650</w:t>
            </w:r>
          </w:p>
        </w:tc>
      </w:tr>
    </w:tbl>
    <w:p/>
    <w:p>
      <w:pPr>
        <w:jc w:val="center"/>
      </w:pPr>
      <w:r>
        <w:drawing>
          <wp:inline xmlns:a="http://schemas.openxmlformats.org/drawingml/2006/main" xmlns:pic="http://schemas.openxmlformats.org/drawingml/2006/picture">
            <wp:extent cx="4114800" cy="4107838"/>
            <wp:docPr id="5" name="Picture 5"/>
            <wp:cNvGraphicFramePr>
              <a:graphicFrameLocks noChangeAspect="1"/>
            </wp:cNvGraphicFramePr>
            <a:graphic>
              <a:graphicData uri="http://schemas.openxmlformats.org/drawingml/2006/picture">
                <pic:pic>
                  <pic:nvPicPr>
                    <pic:cNvPr id="0" name="roc_curve.png"/>
                    <pic:cNvPicPr/>
                  </pic:nvPicPr>
                  <pic:blipFill>
                    <a:blip r:embed="rId13"/>
                    <a:stretch>
                      <a:fillRect/>
                    </a:stretch>
                  </pic:blipFill>
                  <pic:spPr>
                    <a:xfrm>
                      <a:off x="0" y="0"/>
                      <a:ext cx="4114800" cy="4107838"/>
                    </a:xfrm>
                    <a:prstGeom prst="rect"/>
                  </pic:spPr>
                </pic:pic>
              </a:graphicData>
            </a:graphic>
          </wp:inline>
        </w:drawing>
      </w:r>
    </w:p>
    <w:p>
      <w:pPr>
        <w:jc w:val="center"/>
      </w:pPr>
      <w:r>
        <w:rPr>
          <w:rFonts w:ascii="Times New Roman" w:hAnsi="Times New Roman"/>
          <w:b/>
          <w:sz w:val="20"/>
        </w:rPr>
        <w:t xml:space="preserve">Figure 5. </w:t>
      </w:r>
      <w:r>
        <w:rPr>
          <w:rFonts w:ascii="Times New Roman" w:hAnsi="Times New Roman"/>
          <w:sz w:val="20"/>
        </w:rPr>
        <w:t>Receiver Operating Characteristic (ROC) curve demonstrating model discrimination performance on the held-out test set. The tuned GraphSAGE model achieved an AUC of 0.768.</w:t>
      </w:r>
    </w:p>
    <w:p/>
    <w:p>
      <w:pPr>
        <w:jc w:val="center"/>
      </w:pPr>
      <w:r>
        <w:drawing>
          <wp:inline xmlns:a="http://schemas.openxmlformats.org/drawingml/2006/main" xmlns:pic="http://schemas.openxmlformats.org/drawingml/2006/picture">
            <wp:extent cx="3657600" cy="3027929"/>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3657600" cy="3027929"/>
                    </a:xfrm>
                    <a:prstGeom prst="rect"/>
                  </pic:spPr>
                </pic:pic>
              </a:graphicData>
            </a:graphic>
          </wp:inline>
        </w:drawing>
      </w:r>
    </w:p>
    <w:p>
      <w:pPr>
        <w:jc w:val="center"/>
      </w:pPr>
      <w:r>
        <w:rPr>
          <w:rFonts w:ascii="Times New Roman" w:hAnsi="Times New Roman"/>
          <w:b/>
          <w:sz w:val="20"/>
        </w:rPr>
        <w:t xml:space="preserve">Figure 6. </w:t>
      </w:r>
      <w:r>
        <w:rPr>
          <w:rFonts w:ascii="Times New Roman" w:hAnsi="Times New Roman"/>
          <w:sz w:val="20"/>
        </w:rPr>
        <w:t>Confusion matrix on the held-out test set showing the distribution of predictions. The model achieves high sensitivity (recall = 0.65) at the cost of lower precision, reflecting the clinical priority of minimizing false negatives.</w:t>
      </w:r>
    </w:p>
    <w:p/>
    <w:p>
      <w:pPr>
        <w:jc w:val="center"/>
      </w:pPr>
      <w:r>
        <w:drawing>
          <wp:inline xmlns:a="http://schemas.openxmlformats.org/drawingml/2006/main" xmlns:pic="http://schemas.openxmlformats.org/drawingml/2006/picture">
            <wp:extent cx="4114800" cy="2448292"/>
            <wp:docPr id="7" name="Picture 7"/>
            <wp:cNvGraphicFramePr>
              <a:graphicFrameLocks noChangeAspect="1"/>
            </wp:cNvGraphicFramePr>
            <a:graphic>
              <a:graphicData uri="http://schemas.openxmlformats.org/drawingml/2006/picture">
                <pic:pic>
                  <pic:nvPicPr>
                    <pic:cNvPr id="0" name="pretrain_loss.png"/>
                    <pic:cNvPicPr/>
                  </pic:nvPicPr>
                  <pic:blipFill>
                    <a:blip r:embed="rId15"/>
                    <a:stretch>
                      <a:fillRect/>
                    </a:stretch>
                  </pic:blipFill>
                  <pic:spPr>
                    <a:xfrm>
                      <a:off x="0" y="0"/>
                      <a:ext cx="4114800" cy="2448292"/>
                    </a:xfrm>
                    <a:prstGeom prst="rect"/>
                  </pic:spPr>
                </pic:pic>
              </a:graphicData>
            </a:graphic>
          </wp:inline>
        </w:drawing>
      </w:r>
    </w:p>
    <w:p>
      <w:pPr>
        <w:jc w:val="center"/>
      </w:pPr>
      <w:r>
        <w:rPr>
          <w:rFonts w:ascii="Times New Roman" w:hAnsi="Times New Roman"/>
          <w:b/>
          <w:sz w:val="20"/>
        </w:rPr>
        <w:t xml:space="preserve">Figure 7. </w:t>
      </w:r>
      <w:r>
        <w:rPr>
          <w:rFonts w:ascii="Times New Roman" w:hAnsi="Times New Roman"/>
          <w:sz w:val="20"/>
        </w:rPr>
        <w:t>Self-supervised pretraining loss curve showing convergence over training epochs. The model learned temporal dynamics of iEEG signals through next-window prediction task.</w:t>
      </w:r>
    </w:p>
    <w:p/>
    <w:p>
      <w:pPr>
        <w:jc w:val="center"/>
      </w:pPr>
      <w:r>
        <w:drawing>
          <wp:inline xmlns:a="http://schemas.openxmlformats.org/drawingml/2006/main" xmlns:pic="http://schemas.openxmlformats.org/drawingml/2006/picture">
            <wp:extent cx="4114800" cy="1443339"/>
            <wp:docPr id="8" name="Picture 8"/>
            <wp:cNvGraphicFramePr>
              <a:graphicFrameLocks noChangeAspect="1"/>
            </wp:cNvGraphicFramePr>
            <a:graphic>
              <a:graphicData uri="http://schemas.openxmlformats.org/drawingml/2006/picture">
                <pic:pic>
                  <pic:nvPicPr>
                    <pic:cNvPr id="0" name="train_loss.png"/>
                    <pic:cNvPicPr/>
                  </pic:nvPicPr>
                  <pic:blipFill>
                    <a:blip r:embed="rId16"/>
                    <a:stretch>
                      <a:fillRect/>
                    </a:stretch>
                  </pic:blipFill>
                  <pic:spPr>
                    <a:xfrm>
                      <a:off x="0" y="0"/>
                      <a:ext cx="4114800" cy="1443339"/>
                    </a:xfrm>
                    <a:prstGeom prst="rect"/>
                  </pic:spPr>
                </pic:pic>
              </a:graphicData>
            </a:graphic>
          </wp:inline>
        </w:drawing>
      </w:r>
    </w:p>
    <w:p>
      <w:pPr>
        <w:jc w:val="center"/>
      </w:pPr>
      <w:r>
        <w:rPr>
          <w:rFonts w:ascii="Times New Roman" w:hAnsi="Times New Roman"/>
          <w:b/>
          <w:sz w:val="20"/>
        </w:rPr>
        <w:t xml:space="preserve">Figure 8. </w:t>
      </w:r>
      <w:r>
        <w:rPr>
          <w:rFonts w:ascii="Times New Roman" w:hAnsi="Times New Roman"/>
          <w:sz w:val="20"/>
        </w:rPr>
        <w:t>Supervised fine-tuning loss and validation AUC curves. Early stopping was applied based on validation AUC to prevent overfitting.</w:t>
      </w:r>
    </w:p>
    <w:p/>
    <w:p>
      <w:r>
        <w:rPr>
          <w:rFonts w:ascii="Times New Roman" w:hAnsi="Times New Roman"/>
          <w:b/>
          <w:sz w:val="24"/>
        </w:rPr>
        <w:t>4. Discussion</w:t>
      </w:r>
    </w:p>
    <w:p>
      <w:pPr>
        <w:ind w:firstLine="720"/>
        <w:jc w:val="both"/>
      </w:pPr>
      <w:r>
        <w:rPr>
          <w:rFonts w:ascii="Times New Roman" w:hAnsi="Times New Roman"/>
        </w:rPr>
        <w:t>Our results demonstrate that GNN-based approaches can effectively identify SOZ electrodes from iEEG recordings, achieving clinically meaningful performance on a multi-site dataset. The test AUC of 0.768 compares favorably with prior machine learning approaches for SOZ localization, which have reported AUCs ranging from 0.65 to 0.85 (Varatharajah et al., 2018; Bernabei et al., 2022).</w:t>
      </w:r>
    </w:p>
    <w:p>
      <w:pPr>
        <w:ind w:firstLine="720"/>
        <w:jc w:val="both"/>
      </w:pPr>
      <w:r>
        <w:rPr>
          <w:rFonts w:ascii="Times New Roman" w:hAnsi="Times New Roman"/>
        </w:rPr>
        <w:t>The high recall (65%) achieved by our model is particularly relevant for clinical application. In epilepsy surgery planning, failing to identify a true SOZ electrode could lead to incomplete resection and surgical failure. Our model's sensitivity suggests it could serve as an effective screening tool to flag candidate SOZ regions for detailed review by epileptologists. The relatively low precision (19%) reflects the conservative nature of our approach, which generates false positives but minimizes false negatives.</w:t>
      </w:r>
    </w:p>
    <w:p>
      <w:pPr>
        <w:ind w:firstLine="720"/>
        <w:jc w:val="both"/>
      </w:pPr>
      <w:r>
        <w:rPr>
          <w:rFonts w:ascii="Times New Roman" w:hAnsi="Times New Roman"/>
        </w:rPr>
        <w:t>Combining datasets from the same institution but different acquisition protocols improved performance beyond what augmentation alone could achieve. This finding underscores the importance of data pooling efforts in the epilepsy neuroimaging community. Public repositories like OpenNeuro facilitate such collaborations and accelerate methodological development.</w:t>
      </w:r>
    </w:p>
    <w:p>
      <w:pPr>
        <w:ind w:firstLine="720"/>
        <w:jc w:val="both"/>
      </w:pPr>
      <w:r>
        <w:rPr>
          <w:rFonts w:ascii="Times New Roman" w:hAnsi="Times New Roman"/>
        </w:rPr>
        <w:t>Several limitations should be acknowledged. First, our evaluation was limited to data from a single institution, and generalization to other centers remains to be validated. Second, the dataset size, while larger than many prior studies, remains modest by deep learning standards. Future work should explore cross-institutional validation, integration of anatomical information, and extension to seizure prediction tasks.</w:t>
      </w:r>
    </w:p>
    <w:p>
      <w:r>
        <w:rPr>
          <w:rFonts w:ascii="Times New Roman" w:hAnsi="Times New Roman"/>
          <w:b/>
          <w:sz w:val="24"/>
        </w:rPr>
        <w:t>5. Conclusion</w:t>
      </w:r>
    </w:p>
    <w:p>
      <w:pPr>
        <w:ind w:firstLine="720"/>
        <w:jc w:val="both"/>
      </w:pPr>
      <w:r>
        <w:rPr>
          <w:rFonts w:ascii="Times New Roman" w:hAnsi="Times New Roman"/>
        </w:rPr>
        <w:t>We developed a GNN-based framework for automated SOZ localization in drug-resistant epilepsy patients undergoing intracranial EEG monitoring. By combining publicly available datasets and employing self-supervised pretraining with online augmentation, our GraphSAGE model achieved a test AUC of 0.768 with 65% recall. These results suggest that graph-based deep learning approaches hold promise as decision-support tools for epilepsy surgical planning. Future work should focus on prospective validation and integration into clinical workflows.</w:t>
      </w:r>
    </w:p>
    <w:p>
      <w:r>
        <w:rPr>
          <w:rFonts w:ascii="Times New Roman" w:hAnsi="Times New Roman"/>
          <w:b/>
          <w:sz w:val="24"/>
        </w:rPr>
        <w:t>Data and Code Availability</w:t>
      </w:r>
    </w:p>
    <w:p>
      <w:pPr>
        <w:ind w:firstLine="720"/>
        <w:jc w:val="both"/>
      </w:pPr>
      <w:r>
        <w:rPr>
          <w:rFonts w:ascii="Times New Roman" w:hAnsi="Times New Roman"/>
        </w:rPr>
        <w:t>The datasets used in this study are publicly available on OpenNeuro (ds003029 and ds004100). Code for preprocessing, feature extraction, and model training is available at: https://github.com/abtinunmc/GNN-PROJECT</w:t>
      </w:r>
    </w:p>
    <w:p>
      <w:r>
        <w:br w:type="page"/>
      </w:r>
    </w:p>
    <w:p>
      <w:r>
        <w:rPr>
          <w:rFonts w:ascii="Times New Roman" w:hAnsi="Times New Roman"/>
          <w:b/>
          <w:sz w:val="24"/>
        </w:rPr>
        <w:t>References</w:t>
      </w:r>
    </w:p>
    <w:p>
      <w:pPr>
        <w:ind w:left="720" w:hanging="720"/>
        <w:jc w:val="both"/>
      </w:pPr>
      <w:r>
        <w:rPr>
          <w:rFonts w:ascii="Times New Roman" w:hAnsi="Times New Roman"/>
          <w:sz w:val="22"/>
        </w:rPr>
        <w:t>Bernabei, J. M., Sinha, N., Arnold, T. C., Conrad, E., Ong, I., Pattnaik, A. R., Stein, J. M., Shinohara, R. T., Lucas, T. H., Bassett, D. S., Davis, K. A., &amp; Litt, B. (2022). Normative intracranial EEG maps epileptogenic tissues in focal epilepsy. Brain, 145(6), 1949-1961. https://doi.org/10.1093/brain/awab480</w:t>
      </w:r>
    </w:p>
    <w:p>
      <w:pPr>
        <w:ind w:left="720" w:hanging="720"/>
        <w:jc w:val="both"/>
      </w:pPr>
      <w:r>
        <w:rPr>
          <w:rFonts w:ascii="Times New Roman" w:hAnsi="Times New Roman"/>
          <w:sz w:val="22"/>
        </w:rPr>
        <w:t>Bessadok, A., Mahjoub, M. A., &amp; Rekik, I. (2022). Graph neural networks in network neuroscience. IEEE Transactions on Pattern Analysis and Machine Intelligence, 44(7), 3847-3867. https://doi.org/10.1109/TPAMI.2021.3062878</w:t>
      </w:r>
    </w:p>
    <w:p>
      <w:pPr>
        <w:ind w:left="720" w:hanging="720"/>
        <w:jc w:val="both"/>
      </w:pPr>
      <w:r>
        <w:rPr>
          <w:rFonts w:ascii="Times New Roman" w:hAnsi="Times New Roman"/>
          <w:sz w:val="22"/>
        </w:rPr>
        <w:t>Engel, J., McDermott, M. P., Wiebe, S., Langfitt, J. T., Stern, J. M., Dewar, S., Sperling, M. R., Gardiner, I., Erba, G., Fried, I., Jacobs, M., Vinters, H. V., Mintzer, S., &amp; Kieburtz, K. (2012). Early surgical therapy for drug-resistant temporal lobe epilepsy: A randomized trial. JAMA, 307(9), 922-930. https://doi.org/10.1001/jama.2012.220</w:t>
      </w:r>
    </w:p>
    <w:p>
      <w:pPr>
        <w:ind w:left="720" w:hanging="720"/>
        <w:jc w:val="both"/>
      </w:pPr>
      <w:r>
        <w:rPr>
          <w:rFonts w:ascii="Times New Roman" w:hAnsi="Times New Roman"/>
          <w:sz w:val="22"/>
        </w:rPr>
        <w:t>Hamilton, W. L., Ying, R., &amp; Leskovec, J. (2017). Inductive representation learning on large graphs. Advances in Neural Information Processing Systems, 30, 1024-1034.</w:t>
      </w:r>
    </w:p>
    <w:p>
      <w:pPr>
        <w:ind w:left="720" w:hanging="720"/>
        <w:jc w:val="both"/>
      </w:pPr>
      <w:r>
        <w:rPr>
          <w:rFonts w:ascii="Times New Roman" w:hAnsi="Times New Roman"/>
          <w:sz w:val="22"/>
        </w:rPr>
        <w:t>Jacobs, J., Staba, R., Asano, E., Otsubo, H., Wu, J. Y., Zijlmans, M., Mohamed, I., Kahane, P., Dubeau, F., Bhardwaj, R., Mathern, G. W., Bernal, B., &amp; Bhattacharjee, M. (2012). High-frequency oscillations (HFOs) in clinical epilepsy. Progress in Neurobiology, 98(3), 302-315. https://doi.org/10.1016/j.pneurobio.2012.03.001</w:t>
      </w:r>
    </w:p>
    <w:p>
      <w:pPr>
        <w:ind w:left="720" w:hanging="720"/>
        <w:jc w:val="both"/>
      </w:pPr>
      <w:r>
        <w:rPr>
          <w:rFonts w:ascii="Times New Roman" w:hAnsi="Times New Roman"/>
          <w:sz w:val="22"/>
        </w:rPr>
        <w:t>Kini, L. G., Bernabei, J. M., Mikhail, F., Hadar, P., Shah, P., Khambhati, A. N., Oechsel, K., Archer, R., Boccanfuso, J., Conrad, E., Stein, J. M., Das, S., Kheder, A., Lucas, T. H., Davis, K. A., Bassett, D. S., &amp; Litt, B. (2019). Virtual resection predicts surgical outcome for drug-resistant epilepsy. Brain, 142(12), 3892-3905. https://doi.org/10.1093/brain/awz303</w:t>
      </w:r>
    </w:p>
    <w:p>
      <w:pPr>
        <w:ind w:left="720" w:hanging="720"/>
        <w:jc w:val="both"/>
      </w:pPr>
      <w:r>
        <w:rPr>
          <w:rFonts w:ascii="Times New Roman" w:hAnsi="Times New Roman"/>
          <w:sz w:val="22"/>
        </w:rPr>
        <w:t>Kwan, P., &amp; Brodie, M. J. (2000). Early identification of refractory epilepsy. New England Journal of Medicine, 342(5), 314-319. https://doi.org/10.1056/NEJM200002033420503</w:t>
      </w:r>
    </w:p>
    <w:p>
      <w:pPr>
        <w:ind w:left="720" w:hanging="720"/>
        <w:jc w:val="both"/>
      </w:pPr>
      <w:r>
        <w:rPr>
          <w:rFonts w:ascii="Times New Roman" w:hAnsi="Times New Roman"/>
          <w:sz w:val="22"/>
        </w:rPr>
        <w:t>Varatharajah, Y., Berry, B. M., Cimbalnik, J., Kremen, V., Van Gompel, J., Stead, M., Brinkmann, B. H., Iyer, R., &amp; Worrell, G. (2018). Integrating artificial intelligence with real-time intracranial EEG monitoring to automate interictal identification of seizure onset zones in focal epilepsy. Journal of Neural Engineering, 15(4), 046035. https://doi.org/10.1088/1741-2552/aac3dc</w:t>
      </w:r>
    </w:p>
    <w:p>
      <w:pPr>
        <w:ind w:left="720" w:hanging="720"/>
        <w:jc w:val="both"/>
      </w:pPr>
      <w:r>
        <w:rPr>
          <w:rFonts w:ascii="Times New Roman" w:hAnsi="Times New Roman"/>
          <w:sz w:val="22"/>
        </w:rPr>
        <w:t>Velickovic, P., Cucurull, G., Casanova, A., Romero, A., Lio, P., &amp; Bengio, Y. (2018). Graph attention networks. International Conference on Learning Representations.</w:t>
      </w:r>
    </w:p>
    <w:p>
      <w:pPr>
        <w:ind w:left="720" w:hanging="720"/>
        <w:jc w:val="both"/>
      </w:pPr>
      <w:r>
        <w:rPr>
          <w:rFonts w:ascii="Times New Roman" w:hAnsi="Times New Roman"/>
          <w:sz w:val="22"/>
        </w:rPr>
        <w:t>Xu, K., Hu, W., Leskovec, J., &amp; Jegelka, S. (2019). How powerful are graph neural networks? International Conference on Learning Representations.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