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E4" w:rsidRPr="005504AB" w:rsidRDefault="00A423E4" w:rsidP="00A423E4">
      <w:pPr>
        <w:spacing w:after="0" w:line="240" w:lineRule="auto"/>
        <w:rPr>
          <w:rFonts w:ascii="Malgun Gothic" w:eastAsia="Malgun Gothic" w:hAnsi="Malgun Gothic"/>
          <w:caps/>
          <w:sz w:val="28"/>
          <w:szCs w:val="28"/>
        </w:rPr>
      </w:pPr>
      <w:r w:rsidRPr="005504AB">
        <w:rPr>
          <w:rFonts w:ascii="Malgun Gothic" w:eastAsia="Malgun Gothic" w:hAnsi="Malgun Gothic"/>
          <w:b/>
          <w:bCs/>
          <w:caps/>
          <w:sz w:val="28"/>
          <w:szCs w:val="28"/>
        </w:rPr>
        <w:t>AYAN (EPILEPSI)</w:t>
      </w:r>
    </w:p>
    <w:p w:rsidR="00A423E4" w:rsidRPr="00094B9C" w:rsidRDefault="00A423E4" w:rsidP="00094B9C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094B9C">
        <w:rPr>
          <w:rFonts w:ascii="Malgun Gothic" w:eastAsia="Malgun Gothic" w:hAnsi="Malgun Gothic"/>
        </w:rPr>
        <w:t>Epilepsi adalah gangguan neurologis kronis yang ditandai dengan kejang berulang akibat aktivitas listrik abnormal di otak.</w:t>
      </w:r>
      <w:proofErr w:type="gramEnd"/>
      <w:r w:rsidRPr="00094B9C">
        <w:rPr>
          <w:rFonts w:ascii="Malgun Gothic" w:eastAsia="Malgun Gothic" w:hAnsi="Malgun Gothic"/>
        </w:rPr>
        <w:t xml:space="preserve"> </w:t>
      </w:r>
      <w:proofErr w:type="gramStart"/>
      <w:r w:rsidRPr="00094B9C">
        <w:rPr>
          <w:rFonts w:ascii="Malgun Gothic" w:eastAsia="Malgun Gothic" w:hAnsi="Malgun Gothic"/>
        </w:rPr>
        <w:t>Kejang dapat bervariasi dari gerakan tubuh yang tidak terkendali hingga hilangnya kesadaran sementara.</w:t>
      </w:r>
      <w:proofErr w:type="gramEnd"/>
      <w:r w:rsidRPr="00094B9C">
        <w:rPr>
          <w:rFonts w:ascii="Malgun Gothic" w:eastAsia="Malgun Gothic" w:hAnsi="Malgun Gothic"/>
        </w:rPr>
        <w:t xml:space="preserve"> </w:t>
      </w:r>
      <w:proofErr w:type="gramStart"/>
      <w:r w:rsidRPr="00094B9C">
        <w:rPr>
          <w:rFonts w:ascii="Malgun Gothic" w:eastAsia="Malgun Gothic" w:hAnsi="Malgun Gothic"/>
        </w:rPr>
        <w:t>Meskipun epilepsi dapat dikendalikan dengan pengobatan, kondisi ini memerlukan manajemen jangka panjang untuk mence</w:t>
      </w:r>
      <w:r w:rsidR="00094B9C">
        <w:rPr>
          <w:rFonts w:ascii="Malgun Gothic" w:eastAsia="Malgun Gothic" w:hAnsi="Malgun Gothic"/>
        </w:rPr>
        <w:t xml:space="preserve">- </w:t>
      </w:r>
      <w:r w:rsidRPr="00094B9C">
        <w:rPr>
          <w:rFonts w:ascii="Malgun Gothic" w:eastAsia="Malgun Gothic" w:hAnsi="Malgun Gothic"/>
        </w:rPr>
        <w:t xml:space="preserve">gah serangan </w:t>
      </w:r>
      <w:r w:rsidR="00094B9C">
        <w:rPr>
          <w:rFonts w:ascii="Malgun Gothic" w:eastAsia="Malgun Gothic" w:hAnsi="Malgun Gothic"/>
        </w:rPr>
        <w:t>&amp;</w:t>
      </w:r>
      <w:r w:rsidRPr="00094B9C">
        <w:rPr>
          <w:rFonts w:ascii="Malgun Gothic" w:eastAsia="Malgun Gothic" w:hAnsi="Malgun Gothic"/>
        </w:rPr>
        <w:t xml:space="preserve"> meningkatkan kualitas hidup penderitanya.</w:t>
      </w:r>
      <w:proofErr w:type="gramEnd"/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A423E4" w:rsidRPr="00094B9C" w:rsidRDefault="00A423E4" w:rsidP="00094B9C">
      <w:pPr>
        <w:pStyle w:val="ListParagraph"/>
        <w:numPr>
          <w:ilvl w:val="0"/>
          <w:numId w:val="7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Genetik: Riwayat keluarga dengan epilepsi meningkatkan risiko.  </w:t>
      </w:r>
    </w:p>
    <w:p w:rsidR="00A423E4" w:rsidRPr="00094B9C" w:rsidRDefault="00A423E4" w:rsidP="00094B9C">
      <w:pPr>
        <w:pStyle w:val="ListParagraph"/>
        <w:numPr>
          <w:ilvl w:val="0"/>
          <w:numId w:val="7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Cedera Otak: Trauma kepala akibat kecelakaan atau cedera olahraga dapat menyebabkan epilepsi.  </w:t>
      </w:r>
    </w:p>
    <w:p w:rsidR="00A423E4" w:rsidRPr="00094B9C" w:rsidRDefault="00A423E4" w:rsidP="00094B9C">
      <w:pPr>
        <w:pStyle w:val="ListParagraph"/>
        <w:numPr>
          <w:ilvl w:val="0"/>
          <w:numId w:val="7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Infeksi Otak: Seperti meningitis, ensefalitis, atau abses otak.  </w:t>
      </w:r>
    </w:p>
    <w:p w:rsidR="00A423E4" w:rsidRPr="00094B9C" w:rsidRDefault="00A423E4" w:rsidP="00094B9C">
      <w:pPr>
        <w:pStyle w:val="ListParagraph"/>
        <w:numPr>
          <w:ilvl w:val="0"/>
          <w:numId w:val="7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Kelainan Neurologis: Tumor otak, stroke, atau penyakit neurodegeneratif seperti Alzheimer.  </w:t>
      </w:r>
    </w:p>
    <w:p w:rsidR="00A423E4" w:rsidRPr="00094B9C" w:rsidRDefault="00A423E4" w:rsidP="00094B9C">
      <w:pPr>
        <w:pStyle w:val="ListParagraph"/>
        <w:numPr>
          <w:ilvl w:val="0"/>
          <w:numId w:val="7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Gangguan Perkembangan: Seperti autisme atau cerebral palsy.  </w:t>
      </w:r>
    </w:p>
    <w:p w:rsidR="00A423E4" w:rsidRPr="00094B9C" w:rsidRDefault="00A423E4" w:rsidP="00094B9C">
      <w:pPr>
        <w:pStyle w:val="ListParagraph"/>
        <w:numPr>
          <w:ilvl w:val="0"/>
          <w:numId w:val="7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Faktor Lingkungan: Paparan racun atau penyalahgunaan alkohol/narkoba.  </w:t>
      </w: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A423E4" w:rsidRPr="00094B9C" w:rsidRDefault="00A423E4" w:rsidP="00094B9C">
      <w:pPr>
        <w:pStyle w:val="ListParagraph"/>
        <w:numPr>
          <w:ilvl w:val="0"/>
          <w:numId w:val="9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A423E4" w:rsidRPr="00094B9C" w:rsidRDefault="00A423E4" w:rsidP="00094B9C">
      <w:pPr>
        <w:pStyle w:val="ListParagraph"/>
        <w:numPr>
          <w:ilvl w:val="0"/>
          <w:numId w:val="9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Kelemahan Organ Internal: Terutama hati dan ginjal, yang memengaruhi keseimbangan metabolisme dan sistem saraf.  </w:t>
      </w:r>
    </w:p>
    <w:p w:rsidR="00A423E4" w:rsidRPr="00094B9C" w:rsidRDefault="00A423E4" w:rsidP="00094B9C">
      <w:pPr>
        <w:pStyle w:val="ListParagraph"/>
        <w:numPr>
          <w:ilvl w:val="0"/>
          <w:numId w:val="9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Makanan Tidak Sehat: Konsumsi makanan tinggi lemak, gula, dan rendah nutrisi dapat melemahkan fungsi otak.  </w:t>
      </w: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A423E4" w:rsidRPr="00094B9C" w:rsidRDefault="00A423E4" w:rsidP="00094B9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Kejang tonik-klonik: Gerakan tubuh yang kaku diikuti dengan kejang-kejang.  </w:t>
      </w:r>
    </w:p>
    <w:p w:rsidR="00A423E4" w:rsidRPr="00094B9C" w:rsidRDefault="00A423E4" w:rsidP="00094B9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Hilangnya kesadaran sementara selama kejang.  </w:t>
      </w:r>
    </w:p>
    <w:p w:rsidR="00A423E4" w:rsidRPr="00094B9C" w:rsidRDefault="00A423E4" w:rsidP="00094B9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Pandangan kosong atau tatapan kosong (absence seizure).  </w:t>
      </w:r>
    </w:p>
    <w:p w:rsidR="00A423E4" w:rsidRPr="00094B9C" w:rsidRDefault="00A423E4" w:rsidP="00094B9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Gerakan otot yang tidak disengaja, seperti menggerakkan tangan atau mulut.  </w:t>
      </w:r>
    </w:p>
    <w:p w:rsidR="00A423E4" w:rsidRPr="00094B9C" w:rsidRDefault="00A423E4" w:rsidP="00094B9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Sensasi aneh sebelum kejang (aura), seperti kilatan cahaya atau rasa takut.  </w:t>
      </w:r>
    </w:p>
    <w:p w:rsidR="00A423E4" w:rsidRPr="00094B9C" w:rsidRDefault="00A423E4" w:rsidP="00094B9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Pusing atau kebingungan setelah kejang (post-ictal state).  </w:t>
      </w: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A423E4" w:rsidRPr="00094B9C" w:rsidRDefault="00A423E4" w:rsidP="00094B9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Aktivitas Listrik Abnormal: Sel-sel saraf di otak menghasilkan sinyal listrik yang tidak teratur, menyebabkan kejang.  </w:t>
      </w:r>
    </w:p>
    <w:p w:rsidR="00A423E4" w:rsidRPr="00094B9C" w:rsidRDefault="00A423E4" w:rsidP="00094B9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lastRenderedPageBreak/>
        <w:t xml:space="preserve">Ketidakseimbangan Kimia: Gangguan neurotransmitter seperti GABA (penenang) dan glutamat (perangsang) dapat memicu aktivitas abnormal.  </w:t>
      </w:r>
    </w:p>
    <w:p w:rsidR="00A423E4" w:rsidRPr="00094B9C" w:rsidRDefault="00A423E4" w:rsidP="00094B9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Komplikasi: Jika tidak ditangani, dapat menyebabkan cedera fisik, kecelakaan, atau kerusakan otak jangka panjang.  </w:t>
      </w:r>
    </w:p>
    <w:p w:rsidR="00094B9C" w:rsidRDefault="00094B9C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A423E4" w:rsidRPr="00094B9C" w:rsidRDefault="00A423E4" w:rsidP="00094B9C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Riwayat keluarga dengan epilepsi.  </w:t>
      </w:r>
    </w:p>
    <w:p w:rsidR="00A423E4" w:rsidRPr="00094B9C" w:rsidRDefault="00A423E4" w:rsidP="00094B9C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Cedera kepala serius di masa lalu.  </w:t>
      </w:r>
    </w:p>
    <w:p w:rsidR="00A423E4" w:rsidRPr="00094B9C" w:rsidRDefault="00A423E4" w:rsidP="00094B9C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Infeksi otak seperti meningitis atau ensefalitis.  </w:t>
      </w:r>
    </w:p>
    <w:p w:rsidR="00A423E4" w:rsidRPr="00094B9C" w:rsidRDefault="00A423E4" w:rsidP="00094B9C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094B9C">
        <w:rPr>
          <w:rFonts w:ascii="Malgun Gothic" w:eastAsia="Malgun Gothic" w:hAnsi="Malgun Gothic"/>
        </w:rPr>
        <w:t>Usia</w:t>
      </w:r>
      <w:proofErr w:type="gramEnd"/>
      <w:r w:rsidRPr="00094B9C">
        <w:rPr>
          <w:rFonts w:ascii="Malgun Gothic" w:eastAsia="Malgun Gothic" w:hAnsi="Malgun Gothic"/>
        </w:rPr>
        <w:t xml:space="preserve"> lanjut: Risiko meningkat akibat stroke atau penyakit neurodegeneratif.  </w:t>
      </w:r>
    </w:p>
    <w:p w:rsidR="00A423E4" w:rsidRPr="00094B9C" w:rsidRDefault="00A423E4" w:rsidP="00094B9C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Penggunaan alkohol atau narkoba secara berlebihan.  </w:t>
      </w: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094B9C" w:rsidRDefault="00A423E4" w:rsidP="00F7251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094B9C" w:rsidRDefault="00094B9C" w:rsidP="00094B9C">
      <w:pPr>
        <w:pStyle w:val="ListParagraph"/>
        <w:numPr>
          <w:ilvl w:val="0"/>
          <w:numId w:val="19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Obat Antiepilepsi (AED): </w:t>
      </w:r>
      <w:r w:rsidR="00A423E4" w:rsidRPr="00094B9C">
        <w:rPr>
          <w:rFonts w:ascii="Malgun Gothic" w:eastAsia="Malgun Gothic" w:hAnsi="Malgun Gothic"/>
        </w:rPr>
        <w:t>Obat seperti carbamazepine, valproate, atau lamotrigine digu</w:t>
      </w:r>
      <w:r>
        <w:rPr>
          <w:rFonts w:ascii="Malgun Gothic" w:eastAsia="Malgun Gothic" w:hAnsi="Malgun Gothic"/>
        </w:rPr>
        <w:t>nakan untuk mengontrol kejang.</w:t>
      </w:r>
    </w:p>
    <w:p w:rsidR="00094B9C" w:rsidRDefault="00094B9C" w:rsidP="00094B9C">
      <w:pPr>
        <w:pStyle w:val="ListParagraph"/>
        <w:numPr>
          <w:ilvl w:val="0"/>
          <w:numId w:val="19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Terapi Diet Ketogenik: </w:t>
      </w:r>
      <w:r w:rsidR="00A423E4" w:rsidRPr="00094B9C">
        <w:rPr>
          <w:rFonts w:ascii="Malgun Gothic" w:eastAsia="Malgun Gothic" w:hAnsi="Malgun Gothic"/>
        </w:rPr>
        <w:t xml:space="preserve">Diet tinggi lemak dan rendah karbohidrat untuk mengurangi frekuensi kejang. </w:t>
      </w:r>
    </w:p>
    <w:p w:rsidR="00094B9C" w:rsidRDefault="00094B9C" w:rsidP="00094B9C">
      <w:pPr>
        <w:pStyle w:val="ListParagraph"/>
        <w:numPr>
          <w:ilvl w:val="0"/>
          <w:numId w:val="19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Operasi: </w:t>
      </w:r>
      <w:r w:rsidR="00A423E4" w:rsidRPr="00094B9C">
        <w:rPr>
          <w:rFonts w:ascii="Malgun Gothic" w:eastAsia="Malgun Gothic" w:hAnsi="Malgun Gothic"/>
        </w:rPr>
        <w:t>Prosedur bedah untuk mengangkat area otak yang menjadi sumber kejang j</w:t>
      </w:r>
      <w:r>
        <w:rPr>
          <w:rFonts w:ascii="Malgun Gothic" w:eastAsia="Malgun Gothic" w:hAnsi="Malgun Gothic"/>
        </w:rPr>
        <w:t>ika obat tidak efektif.</w:t>
      </w:r>
    </w:p>
    <w:p w:rsidR="00A423E4" w:rsidRPr="00094B9C" w:rsidRDefault="00094B9C" w:rsidP="00094B9C">
      <w:pPr>
        <w:pStyle w:val="ListParagraph"/>
        <w:numPr>
          <w:ilvl w:val="0"/>
          <w:numId w:val="19"/>
        </w:numPr>
        <w:spacing w:after="0" w:line="240" w:lineRule="auto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Stimulasi Saraf Vagus (VNS): </w:t>
      </w:r>
      <w:r w:rsidR="00A423E4" w:rsidRPr="00094B9C">
        <w:rPr>
          <w:rFonts w:ascii="Malgun Gothic" w:eastAsia="Malgun Gothic" w:hAnsi="Malgun Gothic"/>
        </w:rPr>
        <w:t xml:space="preserve">Alat implan yang memberikan stimulasi listrik ke saraf vagus untuk mengurangi kejang.  </w:t>
      </w: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94B9C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A423E4" w:rsidRPr="00094B9C" w:rsidRDefault="00A423E4" w:rsidP="00094B9C">
      <w:pPr>
        <w:pStyle w:val="ListParagraph"/>
        <w:numPr>
          <w:ilvl w:val="0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Herbal &amp; Ramuan:  </w:t>
      </w:r>
    </w:p>
    <w:p w:rsidR="00A423E4" w:rsidRPr="00094B9C" w:rsidRDefault="00A423E4" w:rsidP="00094B9C">
      <w:pPr>
        <w:pStyle w:val="ListParagraph"/>
        <w:numPr>
          <w:ilvl w:val="1"/>
          <w:numId w:val="18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Jahe: Diminum sebagai teh untuk meningkatkan aliran darah ke otak dan menenangkan saraf.  </w:t>
      </w:r>
    </w:p>
    <w:p w:rsidR="00A423E4" w:rsidRPr="00094B9C" w:rsidRDefault="00A423E4" w:rsidP="00094B9C">
      <w:pPr>
        <w:pStyle w:val="ListParagraph"/>
        <w:numPr>
          <w:ilvl w:val="1"/>
          <w:numId w:val="18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Kunyit: Bersifat antioksidan dan anti-inflamasi, membantu melindungi sel saraf.  </w:t>
      </w:r>
    </w:p>
    <w:p w:rsidR="00A423E4" w:rsidRPr="00094B9C" w:rsidRDefault="00A423E4" w:rsidP="00094B9C">
      <w:pPr>
        <w:pStyle w:val="ListParagraph"/>
        <w:numPr>
          <w:ilvl w:val="1"/>
          <w:numId w:val="18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Madu Murni: Dikonsumsi untuk mendukung regenerasi sel dan daya tahan tubuh.  </w:t>
      </w:r>
    </w:p>
    <w:p w:rsidR="00A423E4" w:rsidRPr="00094B9C" w:rsidRDefault="00A423E4" w:rsidP="00094B9C">
      <w:pPr>
        <w:pStyle w:val="ListParagraph"/>
        <w:numPr>
          <w:ilvl w:val="1"/>
          <w:numId w:val="18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Daun Sirih: Direbus dan diminum untuk membantu menenangkan sistem saraf.  </w:t>
      </w:r>
    </w:p>
    <w:p w:rsidR="00A423E4" w:rsidRPr="00094B9C" w:rsidRDefault="00A423E4" w:rsidP="00094B9C">
      <w:pPr>
        <w:pStyle w:val="ListParagraph"/>
        <w:numPr>
          <w:ilvl w:val="1"/>
          <w:numId w:val="18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Kayu Manis: Membantu menjaga keseimbangan elektrolit dan fungsi otak.  </w:t>
      </w:r>
    </w:p>
    <w:p w:rsidR="00094B9C" w:rsidRDefault="00094B9C" w:rsidP="00094B9C">
      <w:pPr>
        <w:pStyle w:val="ListParagraph"/>
        <w:numPr>
          <w:ilvl w:val="0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Terapi Bekam (Hijamah): </w:t>
      </w:r>
    </w:p>
    <w:p w:rsidR="00094B9C" w:rsidRDefault="00A423E4" w:rsidP="00094B9C">
      <w:pPr>
        <w:pStyle w:val="ListParagraph"/>
        <w:numPr>
          <w:ilvl w:val="0"/>
          <w:numId w:val="21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>Titik Bekam: Area lokal di kepala atau leher untuk memperbaiki aliran darah dan mengurangi akti</w:t>
      </w:r>
      <w:r w:rsidR="00094B9C" w:rsidRPr="00094B9C">
        <w:rPr>
          <w:rFonts w:ascii="Malgun Gothic" w:eastAsia="Malgun Gothic" w:hAnsi="Malgun Gothic"/>
        </w:rPr>
        <w:t xml:space="preserve">vitas listrik abnormal.  </w:t>
      </w:r>
    </w:p>
    <w:p w:rsidR="00094B9C" w:rsidRDefault="00A423E4" w:rsidP="00094B9C">
      <w:pPr>
        <w:pStyle w:val="ListParagraph"/>
        <w:numPr>
          <w:ilvl w:val="0"/>
          <w:numId w:val="21"/>
        </w:numPr>
        <w:spacing w:after="0" w:line="240" w:lineRule="auto"/>
        <w:ind w:left="993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>Frekuensi: Setiap 2 minggu</w:t>
      </w:r>
      <w:r w:rsidR="00094B9C">
        <w:rPr>
          <w:rFonts w:ascii="Malgun Gothic" w:eastAsia="Malgun Gothic" w:hAnsi="Malgun Gothic"/>
        </w:rPr>
        <w:t xml:space="preserve"> sekali sesuai kondisi pasien.</w:t>
      </w:r>
    </w:p>
    <w:p w:rsidR="00A423E4" w:rsidRPr="00094B9C" w:rsidRDefault="00A423E4" w:rsidP="00094B9C">
      <w:pPr>
        <w:pStyle w:val="ListParagraph"/>
        <w:numPr>
          <w:ilvl w:val="0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lastRenderedPageBreak/>
        <w:t xml:space="preserve">Konsumsi Talbinah (Bubur Gandum): Membantu menenangkan saraf dan menjaga kesehatan pencernaan serta metabolisme tubuh.  </w:t>
      </w: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9A55C5" w:rsidRDefault="00A423E4" w:rsidP="00F7251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A55C5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94B9C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A423E4" w:rsidRPr="00094B9C" w:rsidRDefault="00A423E4" w:rsidP="00094B9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Diet Ketogenik: Tinggi lemak dan rendah karbohidrat untuk mengurangi kejang.  </w:t>
      </w:r>
    </w:p>
    <w:p w:rsidR="00A423E4" w:rsidRPr="00094B9C" w:rsidRDefault="00A423E4" w:rsidP="00094B9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A423E4" w:rsidRPr="00094B9C" w:rsidRDefault="00A423E4" w:rsidP="00094B9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Omega-3: Ikan berlemak seperti salmon, sarden, dan tuna untuk melindungi sel saraf.  </w:t>
      </w:r>
    </w:p>
    <w:p w:rsidR="00A423E4" w:rsidRPr="00094B9C" w:rsidRDefault="00A423E4" w:rsidP="00094B9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A423E4" w:rsidRPr="00094B9C" w:rsidRDefault="00A423E4" w:rsidP="00094B9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Makanan Kaya Magnesium: Bayam, almond, dan pisang untuk mendukung kesehatan saraf.  </w:t>
      </w:r>
    </w:p>
    <w:p w:rsidR="00A423E4" w:rsidRPr="00094B9C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94B9C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A423E4" w:rsidRPr="00094B9C" w:rsidRDefault="00A423E4" w:rsidP="00094B9C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094B9C">
        <w:rPr>
          <w:rFonts w:ascii="Malgun Gothic" w:eastAsia="Malgun Gothic" w:hAnsi="Malgun Gothic"/>
        </w:rPr>
        <w:t>manis</w:t>
      </w:r>
      <w:proofErr w:type="gramEnd"/>
      <w:r w:rsidRPr="00094B9C">
        <w:rPr>
          <w:rFonts w:ascii="Malgun Gothic" w:eastAsia="Malgun Gothic" w:hAnsi="Malgun Gothic"/>
        </w:rPr>
        <w:t xml:space="preserve">.  </w:t>
      </w:r>
    </w:p>
    <w:p w:rsidR="00A423E4" w:rsidRPr="00094B9C" w:rsidRDefault="00A423E4" w:rsidP="00094B9C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Makanan olahan: Keripik, makanan kaleng, dan camilan asin.  </w:t>
      </w:r>
    </w:p>
    <w:p w:rsidR="00A423E4" w:rsidRPr="00094B9C" w:rsidRDefault="00A423E4" w:rsidP="00094B9C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A423E4" w:rsidRPr="00094B9C" w:rsidRDefault="00A423E4" w:rsidP="00094B9C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Minuman beralkohol: Dapat memicu kejang.  </w:t>
      </w:r>
    </w:p>
    <w:p w:rsidR="00A423E4" w:rsidRPr="00094B9C" w:rsidRDefault="00A423E4" w:rsidP="00094B9C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Kafein: Kopi, teh hitam, dan minuman energi dapat memperburuk gejala.  </w:t>
      </w: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9A55C5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A55C5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A423E4" w:rsidRPr="00094B9C" w:rsidRDefault="00A423E4" w:rsidP="00094B9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Hindari stres kronis dengan teknik relaksasi seperti meditasi, yoga, atau pernapasan dalam.  </w:t>
      </w:r>
    </w:p>
    <w:p w:rsidR="00A423E4" w:rsidRPr="00094B9C" w:rsidRDefault="00A423E4" w:rsidP="00094B9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Pastikan tidur yang cukup (7-8 jam per malam) untuk menjaga kesehatan otak.  </w:t>
      </w:r>
    </w:p>
    <w:p w:rsidR="00A423E4" w:rsidRPr="00094B9C" w:rsidRDefault="00A423E4" w:rsidP="00094B9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Hindari paparan layar elektronik berlebihan sebelum tidur.  </w:t>
      </w:r>
    </w:p>
    <w:p w:rsidR="00A423E4" w:rsidRPr="00094B9C" w:rsidRDefault="00A423E4" w:rsidP="00094B9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Gunakan helm saat berkendara atau berolahraga untuk mencegah cedera kepala.  </w:t>
      </w:r>
    </w:p>
    <w:p w:rsidR="00A423E4" w:rsidRPr="00094B9C" w:rsidRDefault="00A423E4" w:rsidP="00094B9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Pantau pola kejang secara berkala untuk menyesuaikan pengobatan.  </w:t>
      </w: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9A55C5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A55C5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A423E4" w:rsidRPr="00094B9C" w:rsidRDefault="00A423E4" w:rsidP="00094B9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Vitamin B Kompleks: Mendukung kesehatan saraf dan metabolisme energi.  </w:t>
      </w:r>
    </w:p>
    <w:p w:rsidR="00A423E4" w:rsidRPr="00094B9C" w:rsidRDefault="00A423E4" w:rsidP="00094B9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Magnesium: Mengurangi spasme otot dan mendukung relaksasi saraf.  </w:t>
      </w:r>
    </w:p>
    <w:p w:rsidR="00A423E4" w:rsidRPr="00094B9C" w:rsidRDefault="00A423E4" w:rsidP="00094B9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Omega-3: Melindungi sel saraf dan mendukung fungsi otak.  </w:t>
      </w:r>
    </w:p>
    <w:p w:rsidR="00A423E4" w:rsidRPr="00094B9C" w:rsidRDefault="00A423E4" w:rsidP="00094B9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Coenzyme Q10 (CoQ10): Antioksidan yang membantu melindungi sel dari kerusakan oksidatif.  </w:t>
      </w:r>
    </w:p>
    <w:p w:rsidR="00A423E4" w:rsidRPr="00094B9C" w:rsidRDefault="00A423E4" w:rsidP="00094B9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Probiotik: Meningkatkan kesehatan pencernaan dan mendukung detoksifikasi tubuh.  </w:t>
      </w:r>
    </w:p>
    <w:p w:rsidR="00A423E4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94B9C" w:rsidRPr="000459B1" w:rsidRDefault="00094B9C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9A55C5" w:rsidRDefault="00A423E4" w:rsidP="00A423E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A55C5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A423E4" w:rsidRPr="00094B9C" w:rsidRDefault="00A423E4" w:rsidP="00094B9C">
      <w:pPr>
        <w:pStyle w:val="ListParagraph"/>
        <w:numPr>
          <w:ilvl w:val="1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Berkurangnya frekuensi dan intensitas kejang.  </w:t>
      </w:r>
    </w:p>
    <w:p w:rsidR="00A423E4" w:rsidRPr="00094B9C" w:rsidRDefault="00A423E4" w:rsidP="00094B9C">
      <w:pPr>
        <w:pStyle w:val="ListParagraph"/>
        <w:numPr>
          <w:ilvl w:val="1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Peningkatan fokus dan konsentrasi.  </w:t>
      </w:r>
    </w:p>
    <w:p w:rsidR="00A423E4" w:rsidRPr="00094B9C" w:rsidRDefault="00A423E4" w:rsidP="00094B9C">
      <w:pPr>
        <w:pStyle w:val="ListParagraph"/>
        <w:numPr>
          <w:ilvl w:val="1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Stabilnya suasana hati dan emosi.  </w:t>
      </w:r>
    </w:p>
    <w:p w:rsidR="00A423E4" w:rsidRPr="00094B9C" w:rsidRDefault="00A423E4" w:rsidP="00094B9C">
      <w:pPr>
        <w:pStyle w:val="ListParagraph"/>
        <w:numPr>
          <w:ilvl w:val="1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Tidak ada tanda-tanda komplikasi seperti cedera fisik atau kecelakaan.  </w:t>
      </w:r>
    </w:p>
    <w:p w:rsidR="00A423E4" w:rsidRPr="00094B9C" w:rsidRDefault="00A423E4" w:rsidP="00094B9C">
      <w:pPr>
        <w:pStyle w:val="ListParagraph"/>
        <w:numPr>
          <w:ilvl w:val="1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94B9C">
        <w:rPr>
          <w:rFonts w:ascii="Malgun Gothic" w:eastAsia="Malgun Gothic" w:hAnsi="Malgun Gothic"/>
        </w:rPr>
        <w:t xml:space="preserve">Peningkatan kualitas hidup secara keseluruhan.  </w:t>
      </w:r>
    </w:p>
    <w:p w:rsidR="00F72513" w:rsidRDefault="00F72513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9A55C5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9A55C5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Ayan (Epilepsi): </w:t>
      </w:r>
    </w:p>
    <w:p w:rsidR="00F72513" w:rsidRPr="00FC048F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C048F">
        <w:rPr>
          <w:rFonts w:ascii="Malgun Gothic" w:eastAsia="Malgun Gothic" w:hAnsi="Malgun Gothic"/>
          <w:b/>
          <w:bCs/>
          <w:sz w:val="24"/>
          <w:szCs w:val="24"/>
        </w:rPr>
        <w:t>Pendekatan Berbasis Reseptor &amp; Ritme Sirkadian Neurologi</w:t>
      </w:r>
    </w:p>
    <w:p w:rsidR="00F72513" w:rsidRPr="00012E77" w:rsidRDefault="00F72513" w:rsidP="00012E77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012E77">
        <w:rPr>
          <w:rFonts w:ascii="Malgun Gothic" w:eastAsia="Malgun Gothic" w:hAnsi="Malgun Gothic"/>
        </w:rPr>
        <w:t>Formula kapsul herbal ini dirancang khusus untuk mengatasi ayan (epilepsi), baik dalam kondisi akut (jangka pendek) maupun kronis.</w:t>
      </w:r>
      <w:proofErr w:type="gramEnd"/>
      <w:r w:rsidRPr="00012E77">
        <w:rPr>
          <w:rFonts w:ascii="Malgun Gothic" w:eastAsia="Malgun Gothic" w:hAnsi="Malgun Gothic"/>
        </w:rPr>
        <w:t xml:space="preserve"> </w:t>
      </w:r>
      <w:proofErr w:type="gramStart"/>
      <w:r w:rsidRPr="00012E77">
        <w:rPr>
          <w:rFonts w:ascii="Malgun Gothic" w:eastAsia="Malgun Gothic" w:hAnsi="Malgun Gothic"/>
        </w:rPr>
        <w:t xml:space="preserve">Pendekatan berbasis reseptor (GABAergic, NMDA, </w:t>
      </w:r>
      <w:r w:rsidR="009A55C5" w:rsidRPr="00012E77">
        <w:rPr>
          <w:rFonts w:ascii="Malgun Gothic" w:eastAsia="Malgun Gothic" w:hAnsi="Malgun Gothic"/>
        </w:rPr>
        <w:t>&amp;</w:t>
      </w:r>
      <w:r w:rsidRPr="00012E77">
        <w:rPr>
          <w:rFonts w:ascii="Malgun Gothic" w:eastAsia="Malgun Gothic" w:hAnsi="Malgun Gothic"/>
        </w:rPr>
        <w:t xml:space="preserve"> Calcium Channel) serta ritme sirkadian digunakan untuk memastikan efektivitas formula dalam meredakan kejang, melindungi neuron otak, dan meningkatkan fungsi neurologis.</w:t>
      </w:r>
      <w:proofErr w:type="gramEnd"/>
    </w:p>
    <w:p w:rsidR="00F72513" w:rsidRPr="005E0A58" w:rsidRDefault="00F72513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A816C2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816C2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F72513" w:rsidRPr="00012E77" w:rsidRDefault="00F72513" w:rsidP="00F7251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Meredakan Kejang Akut. Menghambat aktivitas neuron berlebihan yang menyebabkan kejang. Menenangkan sistem saraf pusat.</w:t>
      </w:r>
    </w:p>
    <w:p w:rsidR="00F72513" w:rsidRPr="00012E77" w:rsidRDefault="00F72513" w:rsidP="00F7251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Melindungi Neuron Otak dari Kerusakan Oksidatif. Menangkal radikal bebas melalui aktivasi jalur Nrf2.</w:t>
      </w:r>
    </w:p>
    <w:p w:rsidR="00F72513" w:rsidRPr="00012E77" w:rsidRDefault="00F72513" w:rsidP="00F7251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Meningkatkan Fungsi Neurologis. Membantu tubuh membangun respons neuroprotektif terhadap pemicu kejang seperti stres, infeksi, atau gangguan metabolik.</w:t>
      </w:r>
    </w:p>
    <w:p w:rsidR="00F72513" w:rsidRPr="00A816C2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F72513" w:rsidRPr="00A816C2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816C2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012E77" w:rsidRDefault="00012E77" w:rsidP="00012E77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GABAergic Pathway: </w:t>
      </w:r>
      <w:r w:rsidR="00F72513" w:rsidRPr="00012E77">
        <w:rPr>
          <w:rFonts w:ascii="Malgun Gothic" w:eastAsia="Malgun Gothic" w:hAnsi="Malgun Gothic"/>
        </w:rPr>
        <w:t>Mengaktifkan reseptor GABA-</w:t>
      </w:r>
      <w:proofErr w:type="gramStart"/>
      <w:r w:rsidR="00F72513" w:rsidRPr="00012E77">
        <w:rPr>
          <w:rFonts w:ascii="Malgun Gothic" w:eastAsia="Malgun Gothic" w:hAnsi="Malgun Gothic"/>
        </w:rPr>
        <w:t>A</w:t>
      </w:r>
      <w:proofErr w:type="gramEnd"/>
      <w:r w:rsidR="00F72513" w:rsidRPr="00012E77">
        <w:rPr>
          <w:rFonts w:ascii="Malgun Gothic" w:eastAsia="Malgun Gothic" w:hAnsi="Malgun Gothic"/>
        </w:rPr>
        <w:t xml:space="preserve"> untuk menenang</w:t>
      </w:r>
      <w:r>
        <w:rPr>
          <w:rFonts w:ascii="Malgun Gothic" w:eastAsia="Malgun Gothic" w:hAnsi="Malgun Gothic"/>
        </w:rPr>
        <w:t>kan aktivitas neuron berlebihan.</w:t>
      </w:r>
    </w:p>
    <w:p w:rsidR="00012E77" w:rsidRDefault="00012E77" w:rsidP="00012E77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NMDA Receptor Pathway: </w:t>
      </w:r>
      <w:r w:rsidR="00F72513" w:rsidRPr="00012E77">
        <w:rPr>
          <w:rFonts w:ascii="Malgun Gothic" w:eastAsia="Malgun Gothic" w:hAnsi="Malgun Gothic"/>
        </w:rPr>
        <w:t>Menghambat aktivasi reseptor NMDA yang berpera</w:t>
      </w:r>
      <w:r>
        <w:rPr>
          <w:rFonts w:ascii="Malgun Gothic" w:eastAsia="Malgun Gothic" w:hAnsi="Malgun Gothic"/>
        </w:rPr>
        <w:t>n dalam eksitotoksisitas neuron.</w:t>
      </w:r>
    </w:p>
    <w:p w:rsidR="00012E77" w:rsidRDefault="00F72513" w:rsidP="00012E77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Calcium Channel Pathway</w:t>
      </w:r>
      <w:r w:rsidR="00012E77">
        <w:rPr>
          <w:rFonts w:ascii="Malgun Gothic" w:eastAsia="Malgun Gothic" w:hAnsi="Malgun Gothic"/>
        </w:rPr>
        <w:t xml:space="preserve">: </w:t>
      </w:r>
      <w:r w:rsidRPr="00012E77">
        <w:rPr>
          <w:rFonts w:ascii="Malgun Gothic" w:eastAsia="Malgun Gothic" w:hAnsi="Malgun Gothic"/>
        </w:rPr>
        <w:t>Mengurangi masuknya ion kalsium ke dalam neuron untuk mencegah hiperaktivitas.</w:t>
      </w:r>
    </w:p>
    <w:p w:rsidR="00415A39" w:rsidRDefault="00F72513" w:rsidP="00415A39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NF-κB Pathway</w:t>
      </w:r>
      <w:r w:rsidR="00012E77">
        <w:rPr>
          <w:rFonts w:ascii="Malgun Gothic" w:eastAsia="Malgun Gothic" w:hAnsi="Malgun Gothic"/>
        </w:rPr>
        <w:t xml:space="preserve">: </w:t>
      </w:r>
      <w:r w:rsidRPr="00012E77">
        <w:rPr>
          <w:rFonts w:ascii="Malgun Gothic" w:eastAsia="Malgun Gothic" w:hAnsi="Malgun Gothic"/>
        </w:rPr>
        <w:t>Mengurangi inflamasi kronis pada otak yang dapat memicu kejang.</w:t>
      </w:r>
    </w:p>
    <w:p w:rsidR="00F72513" w:rsidRPr="00415A39" w:rsidRDefault="00012E77" w:rsidP="00415A39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15A39">
        <w:rPr>
          <w:rFonts w:ascii="Malgun Gothic" w:eastAsia="Malgun Gothic" w:hAnsi="Malgun Gothic"/>
        </w:rPr>
        <w:t xml:space="preserve">Nrf2 Pathway: </w:t>
      </w:r>
      <w:r w:rsidR="00F72513" w:rsidRPr="00415A39">
        <w:rPr>
          <w:rFonts w:ascii="Malgun Gothic" w:eastAsia="Malgun Gothic" w:hAnsi="Malgun Gothic"/>
        </w:rPr>
        <w:t>Melindungi neuron dari kerusakan akibat stres oksidatif.</w:t>
      </w:r>
    </w:p>
    <w:p w:rsidR="00F72513" w:rsidRDefault="00F72513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12E77" w:rsidRDefault="00012E77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12E77" w:rsidRPr="005E0A58" w:rsidRDefault="00012E77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A816C2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816C2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Fokus Ritme Sirkadian</w:t>
      </w:r>
    </w:p>
    <w:p w:rsidR="00012E77" w:rsidRDefault="00F72513" w:rsidP="00012E77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Pagi Hari: Aktivitas neuron cenderung lebih tinggi saat tubuh aktif. Konsumsi formula di pagi hari membantu menstabilkan aktivitas neuron.</w:t>
      </w:r>
    </w:p>
    <w:p w:rsidR="00F72513" w:rsidRPr="00012E77" w:rsidRDefault="00F72513" w:rsidP="00012E77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Malam Hari: Proses regenerasi sel otak lebih optimal saat istirahat. </w:t>
      </w:r>
      <w:proofErr w:type="gramStart"/>
      <w:r w:rsidRPr="00012E77">
        <w:rPr>
          <w:rFonts w:ascii="Malgun Gothic" w:eastAsia="Malgun Gothic" w:hAnsi="Malgun Gothic"/>
        </w:rPr>
        <w:t>Konsumsi malam hari mendukung pemulihan neuron.</w:t>
      </w:r>
      <w:proofErr w:type="gramEnd"/>
    </w:p>
    <w:p w:rsidR="00F72513" w:rsidRPr="00012E77" w:rsidRDefault="00F72513" w:rsidP="00F72513">
      <w:pPr>
        <w:spacing w:after="0" w:line="240" w:lineRule="auto"/>
        <w:rPr>
          <w:rFonts w:ascii="Malgun Gothic" w:eastAsia="Malgun Gothic" w:hAnsi="Malgun Gothic"/>
        </w:rPr>
      </w:pPr>
    </w:p>
    <w:p w:rsidR="00F72513" w:rsidRPr="00012E77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2E77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F72513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12E77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8890" w:type="dxa"/>
        <w:jc w:val="center"/>
        <w:tblLook w:val="04A0"/>
      </w:tblPr>
      <w:tblGrid>
        <w:gridCol w:w="2567"/>
        <w:gridCol w:w="1098"/>
        <w:gridCol w:w="1876"/>
        <w:gridCol w:w="3349"/>
      </w:tblGrid>
      <w:tr w:rsidR="00012E77" w:rsidRPr="00012E77" w:rsidTr="00415A39">
        <w:trPr>
          <w:trHeight w:val="270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2E77" w:rsidRPr="00012E77" w:rsidRDefault="00012E77" w:rsidP="00415A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2E77" w:rsidRPr="00012E77" w:rsidRDefault="00012E77" w:rsidP="00415A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2E77" w:rsidRPr="00012E77" w:rsidRDefault="00012E77" w:rsidP="00415A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2E77" w:rsidRPr="00012E77" w:rsidRDefault="00012E77" w:rsidP="00415A39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Utama</w:t>
            </w:r>
          </w:p>
        </w:tc>
      </w:tr>
      <w:tr w:rsidR="00012E77" w:rsidRPr="00012E77" w:rsidTr="00415A39">
        <w:trPr>
          <w:trHeight w:val="27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Neuroprotektif, antikonvulsan, pelindung neuron</w:t>
            </w:r>
          </w:p>
        </w:tc>
      </w:tr>
      <w:tr w:rsidR="00012E77" w:rsidRPr="00012E77" w:rsidTr="00415A39">
        <w:trPr>
          <w:trHeight w:val="27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Valeriana officinalis</w:t>
            </w: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(akar)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Valerenic acid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Menenangkan sistem saraf pusat, antikejang</w:t>
            </w:r>
          </w:p>
        </w:tc>
      </w:tr>
      <w:tr w:rsidR="00012E77" w:rsidRPr="00012E77" w:rsidTr="00415A39">
        <w:trPr>
          <w:trHeight w:val="27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Passiflora incarnata</w:t>
            </w: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(herba)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Flavonoid, chrysin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Meredakan kejang, ansiolitik</w:t>
            </w:r>
          </w:p>
        </w:tc>
      </w:tr>
      <w:tr w:rsidR="00012E77" w:rsidRPr="00012E77" w:rsidTr="00415A39">
        <w:trPr>
          <w:trHeight w:val="27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Withania somnifera</w:t>
            </w: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(akar)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Withanolides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Antioksidan, adaptogenik, neuroprotektif</w:t>
            </w:r>
          </w:p>
        </w:tc>
      </w:tr>
      <w:tr w:rsidR="00012E77" w:rsidRPr="00012E77" w:rsidTr="00415A39">
        <w:trPr>
          <w:trHeight w:val="27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Centella asiatica</w:t>
            </w: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(daun)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Asiaticoside, madecassoside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E77" w:rsidRPr="00012E77" w:rsidRDefault="00012E77" w:rsidP="00012E77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2E77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Memperbaiki fungsi neuron, antiinflamasi</w:t>
            </w:r>
          </w:p>
        </w:tc>
      </w:tr>
    </w:tbl>
    <w:p w:rsidR="00F72513" w:rsidRPr="00012E77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12E77">
        <w:rPr>
          <w:rFonts w:ascii="Malgun Gothic" w:eastAsia="Malgun Gothic" w:hAnsi="Malgun Gothic"/>
          <w:b/>
          <w:bCs/>
        </w:rPr>
        <w:t>Total Netto: 600 mg/kapsul</w:t>
      </w:r>
    </w:p>
    <w:p w:rsidR="00F72513" w:rsidRPr="005E0A58" w:rsidRDefault="00F72513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012E77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2E77">
        <w:rPr>
          <w:rFonts w:ascii="Malgun Gothic" w:eastAsia="Malgun Gothic" w:hAnsi="Malgun Gothic"/>
          <w:b/>
          <w:bCs/>
          <w:caps/>
          <w:sz w:val="24"/>
          <w:szCs w:val="24"/>
        </w:rPr>
        <w:t>Mekanisme Aksi Sinergis</w:t>
      </w:r>
    </w:p>
    <w:p w:rsidR="00415A39" w:rsidRDefault="00F72513" w:rsidP="00F72513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Nigella sativa + Valeriana officinalis: </w:t>
      </w:r>
    </w:p>
    <w:p w:rsidR="00F72513" w:rsidRPr="00012E77" w:rsidRDefault="00F72513" w:rsidP="00415A39">
      <w:pPr>
        <w:pStyle w:val="ListParagraph"/>
        <w:numPr>
          <w:ilvl w:val="0"/>
          <w:numId w:val="35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Thymoquinone dan valerenic acid bekerja sinergis untuk menenangkan aktivitas neuron berlebihan dan meredakan kejang.</w:t>
      </w:r>
    </w:p>
    <w:p w:rsidR="00415A39" w:rsidRDefault="00F72513" w:rsidP="00F72513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Passiflora incarnata + Centella asiatica: </w:t>
      </w:r>
    </w:p>
    <w:p w:rsidR="00F72513" w:rsidRPr="00012E77" w:rsidRDefault="00F72513" w:rsidP="00415A39">
      <w:pPr>
        <w:pStyle w:val="ListParagraph"/>
        <w:numPr>
          <w:ilvl w:val="0"/>
          <w:numId w:val="35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Flavonoid dan asiaticoside membantu memperbaiki fungsi neuron serta mengurangi inflamasi pada otak.</w:t>
      </w:r>
    </w:p>
    <w:p w:rsidR="00415A39" w:rsidRDefault="00F72513" w:rsidP="00F72513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Withania somnifera + Nigella sativa: </w:t>
      </w:r>
    </w:p>
    <w:p w:rsidR="00F72513" w:rsidRPr="00012E77" w:rsidRDefault="00F72513" w:rsidP="00415A39">
      <w:pPr>
        <w:pStyle w:val="ListParagraph"/>
        <w:numPr>
          <w:ilvl w:val="0"/>
          <w:numId w:val="35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Withanolides dan thymoquinone meningkatkan perlindungan neuron dari kerusakan akibat stres oksidatif.</w:t>
      </w:r>
    </w:p>
    <w:p w:rsidR="00415A39" w:rsidRDefault="00F72513" w:rsidP="00F72513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Aktivasi GABAergic Pathway: </w:t>
      </w:r>
    </w:p>
    <w:p w:rsidR="00F72513" w:rsidRPr="00012E77" w:rsidRDefault="00F72513" w:rsidP="00415A39">
      <w:pPr>
        <w:pStyle w:val="ListParagraph"/>
        <w:numPr>
          <w:ilvl w:val="0"/>
          <w:numId w:val="35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Mengaktifkan reseptor GABA-</w:t>
      </w:r>
      <w:proofErr w:type="gramStart"/>
      <w:r w:rsidRPr="00012E77">
        <w:rPr>
          <w:rFonts w:ascii="Malgun Gothic" w:eastAsia="Malgun Gothic" w:hAnsi="Malgun Gothic"/>
        </w:rPr>
        <w:t>A</w:t>
      </w:r>
      <w:proofErr w:type="gramEnd"/>
      <w:r w:rsidRPr="00012E77">
        <w:rPr>
          <w:rFonts w:ascii="Malgun Gothic" w:eastAsia="Malgun Gothic" w:hAnsi="Malgun Gothic"/>
        </w:rPr>
        <w:t xml:space="preserve"> untuk menenangkan aktivitas neuron berlebihan.</w:t>
      </w:r>
    </w:p>
    <w:p w:rsidR="00415A39" w:rsidRDefault="00F72513" w:rsidP="00F72513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 xml:space="preserve">Nrf2 Pathway: </w:t>
      </w:r>
    </w:p>
    <w:p w:rsidR="00F72513" w:rsidRPr="00012E77" w:rsidRDefault="00F72513" w:rsidP="00415A39">
      <w:pPr>
        <w:pStyle w:val="ListParagraph"/>
        <w:numPr>
          <w:ilvl w:val="0"/>
          <w:numId w:val="35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2E77">
        <w:rPr>
          <w:rFonts w:ascii="Malgun Gothic" w:eastAsia="Malgun Gothic" w:hAnsi="Malgun Gothic"/>
        </w:rPr>
        <w:t>Melindungi neuron dari kerusakan akibat stres oksidatif.</w:t>
      </w:r>
    </w:p>
    <w:p w:rsidR="00F72513" w:rsidRDefault="00F72513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415A39" w:rsidRPr="005E0A58" w:rsidRDefault="00415A39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415A39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415A39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Aturan Konsumsi (Berbasis Ritme Sirkadian)</w:t>
      </w:r>
    </w:p>
    <w:tbl>
      <w:tblPr>
        <w:tblW w:w="9556" w:type="dxa"/>
        <w:tblInd w:w="93" w:type="dxa"/>
        <w:tblLook w:val="04A0"/>
      </w:tblPr>
      <w:tblGrid>
        <w:gridCol w:w="2425"/>
        <w:gridCol w:w="2693"/>
        <w:gridCol w:w="4438"/>
      </w:tblGrid>
      <w:tr w:rsidR="00415A39" w:rsidRPr="00415A39" w:rsidTr="00415A39">
        <w:trPr>
          <w:trHeight w:val="27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Waktu Konsumsi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Ritmik</w:t>
            </w:r>
          </w:p>
        </w:tc>
      </w:tr>
      <w:tr w:rsidR="00415A39" w:rsidRPr="00415A39" w:rsidTr="00415A39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sebelum sarapan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 sistem saraf pusat untuk aktivitas harian dan menstabilkan aktivitas neuron.</w:t>
            </w:r>
          </w:p>
        </w:tc>
      </w:tr>
      <w:tr w:rsidR="00415A39" w:rsidRPr="00415A39" w:rsidTr="00415A39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sesudah makan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 relaksasi neuron setelah aktivitas fisik dan mental.</w:t>
            </w:r>
          </w:p>
        </w:tc>
      </w:tr>
      <w:tr w:rsidR="00415A39" w:rsidRPr="00415A39" w:rsidTr="00415A39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setelah makan malam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A39" w:rsidRPr="00415A39" w:rsidRDefault="00415A39" w:rsidP="00415A39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15A39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 proses regenerasi neuron selama istirahat malam.</w:t>
            </w:r>
          </w:p>
        </w:tc>
      </w:tr>
    </w:tbl>
    <w:p w:rsidR="00F72513" w:rsidRPr="005E0A58" w:rsidRDefault="00F72513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3E64B3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F72513" w:rsidRPr="003E64B3" w:rsidRDefault="00F72513" w:rsidP="00F72513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Alternatif herbal ini dapat digunakan sebagai pengganti obat antiepilepsi sintetis untuk pengobatan cepat kejang akut.</w:t>
      </w:r>
    </w:p>
    <w:p w:rsidR="00F72513" w:rsidRPr="003E64B3" w:rsidRDefault="00F72513" w:rsidP="00F72513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Disarankan menjaga pola hidup sehat: Hindari pemicu kejang seperti stres, kurang tidur, atau paparan cahaya berkedip. Minum air putih minimal 2 liter/hari. Jaga kebersihan lingkungan.</w:t>
      </w:r>
    </w:p>
    <w:p w:rsidR="00F72513" w:rsidRPr="003E64B3" w:rsidRDefault="00F72513" w:rsidP="00F72513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Segera hentikan konsumsi jika gejala seperti kejang parah, pusing, atau reaksi alergi lainnya tidak membaik.</w:t>
      </w: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</w:rPr>
      </w:pP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3E64B3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Formula ini tidak dianjurkan untuk kelompok tertentu karena potensi risiko:</w:t>
      </w:r>
    </w:p>
    <w:p w:rsidR="00F72513" w:rsidRPr="003E64B3" w:rsidRDefault="00F72513" w:rsidP="00F7251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Ibu Hamil dan Menyusui: Beberapa bahan memiliki efek stimulasi uterus atau belum terbukti aman dalam dosis tinggi.</w:t>
      </w:r>
    </w:p>
    <w:p w:rsidR="00F72513" w:rsidRPr="003E64B3" w:rsidRDefault="00F72513" w:rsidP="00F7251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Gangguan Hati atau Ginjal Parah: Efek detoksifikasi dan metabolisme bahan herbal mungkin tidak cocok untuk individu dengan gangguan hati atau ginjal.</w:t>
      </w:r>
    </w:p>
    <w:p w:rsidR="00F72513" w:rsidRPr="003E64B3" w:rsidRDefault="00F72513" w:rsidP="00F7251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Gangguan Psikologis Serius: Bahan seperti Valeriana officinalis dan Passiflora incarnata dapat memengaruhi suasana hati dan perilaku.</w:t>
      </w:r>
    </w:p>
    <w:p w:rsidR="00F72513" w:rsidRPr="003E64B3" w:rsidRDefault="00F72513" w:rsidP="00F7251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Alergi Terhadap Herbal: Hindari penggunaan jika ada riwayat hipersensitivitas terhadap salah satu bahan.</w:t>
      </w: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</w:rPr>
      </w:pP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3E64B3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F72513" w:rsidRPr="003E64B3" w:rsidRDefault="00F72513" w:rsidP="00F7251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Obat Penenang/Sedatif: Valeriana officinalis dan Passiflora incarnata dapat meningkatkan efek sedatif.</w:t>
      </w:r>
    </w:p>
    <w:p w:rsidR="00F72513" w:rsidRPr="003E64B3" w:rsidRDefault="00F72513" w:rsidP="00F7251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Obat Antiepilepsi Sintetis: Dapat berinteraksi dengan obat-obatan seperti phenobarbital atau carbamazepine.</w:t>
      </w:r>
    </w:p>
    <w:p w:rsidR="00F72513" w:rsidRPr="003E64B3" w:rsidRDefault="00F72513" w:rsidP="00F7251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Obat Hepatotoksik: Penggunaan bersamaan dapat memengaruhi metabolisme hati.</w:t>
      </w:r>
    </w:p>
    <w:p w:rsidR="00F72513" w:rsidRPr="003E64B3" w:rsidRDefault="00F72513" w:rsidP="00F7251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lastRenderedPageBreak/>
        <w:t>Enzim Metabolisme Obat (CYP450): Withania somnifera dapat memengaruhi aktivitas enzim CYP3A4 dan CYP2C9.</w:t>
      </w: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</w:rPr>
      </w:pPr>
    </w:p>
    <w:p w:rsidR="00F72513" w:rsidRPr="00415A39" w:rsidRDefault="00F72513" w:rsidP="00F72513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415A39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F72513" w:rsidRPr="003E64B3" w:rsidRDefault="00F72513" w:rsidP="00F72513">
      <w:pPr>
        <w:spacing w:after="0" w:line="240" w:lineRule="auto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F72513" w:rsidRPr="003E64B3" w:rsidRDefault="00F72513" w:rsidP="00F72513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Gangguan Pencernaan: Mual, diare, mulas, kembung, atau iritasi lambung.</w:t>
      </w:r>
    </w:p>
    <w:p w:rsidR="00F72513" w:rsidRPr="003E64B3" w:rsidRDefault="00F72513" w:rsidP="00F72513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Reaksi Psikologis: Pusing, kantuk, atau perubahan suasana hati akibat Valeriana officinalis.</w:t>
      </w:r>
    </w:p>
    <w:p w:rsidR="00F72513" w:rsidRPr="003E64B3" w:rsidRDefault="00F72513" w:rsidP="00F72513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Efek Sedatif Ringan: Rasa kantuk akibat Passiflora incarnata.</w:t>
      </w:r>
    </w:p>
    <w:p w:rsidR="00F72513" w:rsidRPr="003E64B3" w:rsidRDefault="00F72513" w:rsidP="00F72513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Masalah Gigi &amp; Mulut: Iritasi gusi akibat Centella asiatica.</w:t>
      </w:r>
    </w:p>
    <w:p w:rsidR="00F72513" w:rsidRPr="003E64B3" w:rsidRDefault="00F72513" w:rsidP="00F72513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E64B3">
        <w:rPr>
          <w:rFonts w:ascii="Malgun Gothic" w:eastAsia="Malgun Gothic" w:hAnsi="Malgun Gothic"/>
        </w:rPr>
        <w:t>Iritasi Lambung: Akibat sifat iritan dari beberapa bahan seperti Withania somnifera.</w:t>
      </w:r>
    </w:p>
    <w:p w:rsidR="00F72513" w:rsidRPr="005E0A58" w:rsidRDefault="00F72513" w:rsidP="00F7251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F72513" w:rsidRPr="000459B1" w:rsidRDefault="00F72513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423E4" w:rsidRPr="000459B1" w:rsidRDefault="00A423E4" w:rsidP="00A423E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B422D9" w:rsidRDefault="00B422D9"/>
    <w:sectPr w:rsidR="00B422D9" w:rsidSect="00A423E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59E"/>
    <w:multiLevelType w:val="hybridMultilevel"/>
    <w:tmpl w:val="EF20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0A73"/>
    <w:multiLevelType w:val="hybridMultilevel"/>
    <w:tmpl w:val="0700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B48FC"/>
    <w:multiLevelType w:val="hybridMultilevel"/>
    <w:tmpl w:val="E6AE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80184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524DD"/>
    <w:multiLevelType w:val="hybridMultilevel"/>
    <w:tmpl w:val="EA98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73380"/>
    <w:multiLevelType w:val="hybridMultilevel"/>
    <w:tmpl w:val="050C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43BE8"/>
    <w:multiLevelType w:val="hybridMultilevel"/>
    <w:tmpl w:val="E66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77B43"/>
    <w:multiLevelType w:val="hybridMultilevel"/>
    <w:tmpl w:val="4BAE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4D82"/>
    <w:multiLevelType w:val="hybridMultilevel"/>
    <w:tmpl w:val="58E6C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8552F"/>
    <w:multiLevelType w:val="hybridMultilevel"/>
    <w:tmpl w:val="4DD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A0CAF"/>
    <w:multiLevelType w:val="hybridMultilevel"/>
    <w:tmpl w:val="A728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D0237"/>
    <w:multiLevelType w:val="hybridMultilevel"/>
    <w:tmpl w:val="65DA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43260"/>
    <w:multiLevelType w:val="hybridMultilevel"/>
    <w:tmpl w:val="08C48460"/>
    <w:lvl w:ilvl="0" w:tplc="6810BBB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A7507"/>
    <w:multiLevelType w:val="hybridMultilevel"/>
    <w:tmpl w:val="C6C6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DD41C0"/>
    <w:multiLevelType w:val="hybridMultilevel"/>
    <w:tmpl w:val="38B2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567DF"/>
    <w:multiLevelType w:val="hybridMultilevel"/>
    <w:tmpl w:val="A4B4FE14"/>
    <w:lvl w:ilvl="0" w:tplc="23723CF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C6508"/>
    <w:multiLevelType w:val="hybridMultilevel"/>
    <w:tmpl w:val="6244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93516"/>
    <w:multiLevelType w:val="hybridMultilevel"/>
    <w:tmpl w:val="9570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0463E"/>
    <w:multiLevelType w:val="hybridMultilevel"/>
    <w:tmpl w:val="1694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228D6"/>
    <w:multiLevelType w:val="hybridMultilevel"/>
    <w:tmpl w:val="3BEC6030"/>
    <w:lvl w:ilvl="0" w:tplc="4FF4AD6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F4F3E"/>
    <w:multiLevelType w:val="hybridMultilevel"/>
    <w:tmpl w:val="AC7C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8496E"/>
    <w:multiLevelType w:val="hybridMultilevel"/>
    <w:tmpl w:val="9DE6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F1B1C"/>
    <w:multiLevelType w:val="hybridMultilevel"/>
    <w:tmpl w:val="89C0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326CD"/>
    <w:multiLevelType w:val="hybridMultilevel"/>
    <w:tmpl w:val="7E02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0E7A"/>
    <w:multiLevelType w:val="hybridMultilevel"/>
    <w:tmpl w:val="3C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926F2"/>
    <w:multiLevelType w:val="hybridMultilevel"/>
    <w:tmpl w:val="B68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7076D9"/>
    <w:multiLevelType w:val="hybridMultilevel"/>
    <w:tmpl w:val="513CE5D4"/>
    <w:lvl w:ilvl="0" w:tplc="601C7AB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F6DF8"/>
    <w:multiLevelType w:val="hybridMultilevel"/>
    <w:tmpl w:val="09DC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E86E1D"/>
    <w:multiLevelType w:val="hybridMultilevel"/>
    <w:tmpl w:val="D916C99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67D78BD"/>
    <w:multiLevelType w:val="hybridMultilevel"/>
    <w:tmpl w:val="75B62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604F9"/>
    <w:multiLevelType w:val="hybridMultilevel"/>
    <w:tmpl w:val="EF3A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11D5E"/>
    <w:multiLevelType w:val="hybridMultilevel"/>
    <w:tmpl w:val="AF1C41C0"/>
    <w:lvl w:ilvl="0" w:tplc="CC8E102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000C41"/>
    <w:multiLevelType w:val="hybridMultilevel"/>
    <w:tmpl w:val="8BD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7A344D"/>
    <w:multiLevelType w:val="hybridMultilevel"/>
    <w:tmpl w:val="50C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F46C5"/>
    <w:multiLevelType w:val="hybridMultilevel"/>
    <w:tmpl w:val="2AB4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66D5E"/>
    <w:multiLevelType w:val="hybridMultilevel"/>
    <w:tmpl w:val="F1B2F8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0"/>
  </w:num>
  <w:num w:numId="4">
    <w:abstractNumId w:val="29"/>
  </w:num>
  <w:num w:numId="5">
    <w:abstractNumId w:val="31"/>
  </w:num>
  <w:num w:numId="6">
    <w:abstractNumId w:val="7"/>
  </w:num>
  <w:num w:numId="7">
    <w:abstractNumId w:val="0"/>
  </w:num>
  <w:num w:numId="8">
    <w:abstractNumId w:val="30"/>
  </w:num>
  <w:num w:numId="9">
    <w:abstractNumId w:val="19"/>
  </w:num>
  <w:num w:numId="10">
    <w:abstractNumId w:val="11"/>
  </w:num>
  <w:num w:numId="11">
    <w:abstractNumId w:val="9"/>
  </w:num>
  <w:num w:numId="12">
    <w:abstractNumId w:val="25"/>
  </w:num>
  <w:num w:numId="13">
    <w:abstractNumId w:val="2"/>
  </w:num>
  <w:num w:numId="14">
    <w:abstractNumId w:val="18"/>
  </w:num>
  <w:num w:numId="15">
    <w:abstractNumId w:val="8"/>
  </w:num>
  <w:num w:numId="16">
    <w:abstractNumId w:val="14"/>
  </w:num>
  <w:num w:numId="17">
    <w:abstractNumId w:val="5"/>
  </w:num>
  <w:num w:numId="18">
    <w:abstractNumId w:val="16"/>
  </w:num>
  <w:num w:numId="19">
    <w:abstractNumId w:val="1"/>
  </w:num>
  <w:num w:numId="20">
    <w:abstractNumId w:val="6"/>
  </w:num>
  <w:num w:numId="21">
    <w:abstractNumId w:val="34"/>
  </w:num>
  <w:num w:numId="22">
    <w:abstractNumId w:val="17"/>
  </w:num>
  <w:num w:numId="23">
    <w:abstractNumId w:val="10"/>
  </w:num>
  <w:num w:numId="24">
    <w:abstractNumId w:val="4"/>
  </w:num>
  <w:num w:numId="25">
    <w:abstractNumId w:val="22"/>
  </w:num>
  <w:num w:numId="26">
    <w:abstractNumId w:val="26"/>
  </w:num>
  <w:num w:numId="27">
    <w:abstractNumId w:val="23"/>
  </w:num>
  <w:num w:numId="28">
    <w:abstractNumId w:val="13"/>
  </w:num>
  <w:num w:numId="29">
    <w:abstractNumId w:val="32"/>
  </w:num>
  <w:num w:numId="30">
    <w:abstractNumId w:val="3"/>
  </w:num>
  <w:num w:numId="31">
    <w:abstractNumId w:val="21"/>
  </w:num>
  <w:num w:numId="32">
    <w:abstractNumId w:val="33"/>
  </w:num>
  <w:num w:numId="33">
    <w:abstractNumId w:val="12"/>
  </w:num>
  <w:num w:numId="34">
    <w:abstractNumId w:val="24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A423E4"/>
    <w:rsid w:val="000020D4"/>
    <w:rsid w:val="00012E77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4B9C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5EC2"/>
    <w:rsid w:val="00267516"/>
    <w:rsid w:val="002A75C8"/>
    <w:rsid w:val="002B023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3321"/>
    <w:rsid w:val="003A45B1"/>
    <w:rsid w:val="003B0E2B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E64B3"/>
    <w:rsid w:val="003F1FF0"/>
    <w:rsid w:val="003F5069"/>
    <w:rsid w:val="003F5373"/>
    <w:rsid w:val="004024E9"/>
    <w:rsid w:val="00411F73"/>
    <w:rsid w:val="0041313B"/>
    <w:rsid w:val="0041554E"/>
    <w:rsid w:val="00415A39"/>
    <w:rsid w:val="00416B4C"/>
    <w:rsid w:val="00417ED7"/>
    <w:rsid w:val="00422143"/>
    <w:rsid w:val="004302E6"/>
    <w:rsid w:val="00432757"/>
    <w:rsid w:val="00434F20"/>
    <w:rsid w:val="00435028"/>
    <w:rsid w:val="0044311C"/>
    <w:rsid w:val="00444C41"/>
    <w:rsid w:val="00445F9F"/>
    <w:rsid w:val="004478D3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516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57B"/>
    <w:rsid w:val="008C32FF"/>
    <w:rsid w:val="008C3B33"/>
    <w:rsid w:val="008D116E"/>
    <w:rsid w:val="008D18AC"/>
    <w:rsid w:val="008D3D24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55C5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7261"/>
    <w:rsid w:val="00A423E4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16C2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4D9E"/>
    <w:rsid w:val="00B263FA"/>
    <w:rsid w:val="00B32406"/>
    <w:rsid w:val="00B32604"/>
    <w:rsid w:val="00B33A06"/>
    <w:rsid w:val="00B35B29"/>
    <w:rsid w:val="00B40092"/>
    <w:rsid w:val="00B40EB6"/>
    <w:rsid w:val="00B40F05"/>
    <w:rsid w:val="00B422D9"/>
    <w:rsid w:val="00B4393F"/>
    <w:rsid w:val="00B50653"/>
    <w:rsid w:val="00B54364"/>
    <w:rsid w:val="00B550E2"/>
    <w:rsid w:val="00B558B9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40029"/>
    <w:rsid w:val="00C42C5B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902"/>
    <w:rsid w:val="00C62F38"/>
    <w:rsid w:val="00C630B1"/>
    <w:rsid w:val="00C65CC8"/>
    <w:rsid w:val="00C67690"/>
    <w:rsid w:val="00C67D48"/>
    <w:rsid w:val="00C67F5D"/>
    <w:rsid w:val="00C7068C"/>
    <w:rsid w:val="00C70B38"/>
    <w:rsid w:val="00C74F93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0564B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D6242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5AAE"/>
    <w:rsid w:val="00F5644D"/>
    <w:rsid w:val="00F63823"/>
    <w:rsid w:val="00F7251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7</cp:revision>
  <dcterms:created xsi:type="dcterms:W3CDTF">2025-05-19T08:08:00Z</dcterms:created>
  <dcterms:modified xsi:type="dcterms:W3CDTF">2025-05-31T01:17:00Z</dcterms:modified>
</cp:coreProperties>
</file>