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  <w:sz w:val="28"/>
          <w:szCs w:val="28"/>
        </w:rPr>
      </w:pPr>
      <w:r w:rsidRPr="00B118E6">
        <w:rPr>
          <w:rFonts w:ascii="Malgun Gothic" w:eastAsia="Malgun Gothic" w:hAnsi="Malgun Gothic"/>
          <w:b/>
          <w:bCs/>
          <w:sz w:val="28"/>
          <w:szCs w:val="28"/>
        </w:rPr>
        <w:t xml:space="preserve">GLAUKOMA </w:t>
      </w:r>
    </w:p>
    <w:p w:rsidR="0096795B" w:rsidRPr="00B118E6" w:rsidRDefault="0096795B" w:rsidP="00B850C3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Glaukoma adalah kelompok penyakit mata yang ditandai dengan kerusakan saraf optik akibat tekanan intraokular (tekanan bola mata) yang terlalu tinggi.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Jika tidak ditangani, glaukoma dapat menyebabkan kehilangan penglihatan permanen atau bahkan kebutaan.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sering berkembang secara perlahan tanpa gejala awal yang jelas, sehingga sering disebut sebagai "pencuri penglihatan diam-diam".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Pengobatan bertujuan untuk menurunkan tekanan intraokular dan mencegah kerusakan lebih lanjut pada saraf optik.</w:t>
      </w:r>
      <w:proofErr w:type="gramEnd"/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PENYEBAB PENYAKIT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Faktor Medis Modern: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Tekanan Intraokular Tinggi: Akumulasi cairan mata (aqueous humor) di dalam bola mata akibat gangguan aliran keluar.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Faktor Genetik: Riwayat keluarga dengan glaukoma meningkatkan risiko.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Usia Lanjut: Risiko meningkat seiring bertambahnya </w:t>
      </w:r>
      <w:proofErr w:type="gramStart"/>
      <w:r w:rsidRPr="00B850C3">
        <w:rPr>
          <w:rFonts w:ascii="Malgun Gothic" w:eastAsia="Malgun Gothic" w:hAnsi="Malgun Gothic"/>
        </w:rPr>
        <w:t>usia</w:t>
      </w:r>
      <w:proofErr w:type="gramEnd"/>
      <w:r w:rsidRPr="00B850C3">
        <w:rPr>
          <w:rFonts w:ascii="Malgun Gothic" w:eastAsia="Malgun Gothic" w:hAnsi="Malgun Gothic"/>
        </w:rPr>
        <w:t xml:space="preserve">, terutama di atas 60 tahun.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Trauma Mata: Cedera fisik pada mata dapat merusak struktur drainase cairan mata.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Penyakit Mata Lainnya: Miopia (rabun jauh), hipertensi okular, atau uveitis.  </w:t>
      </w:r>
    </w:p>
    <w:p w:rsidR="0096795B" w:rsidRPr="00B850C3" w:rsidRDefault="0096795B" w:rsidP="00B850C3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Penyakit Sistemik: Diabetes melitus, hipertensi, atau migrain dapat meningkatkan risiko glaukoma.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96795B" w:rsidRPr="00B118E6" w:rsidRDefault="0096795B" w:rsidP="0096795B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96795B" w:rsidRPr="00B118E6" w:rsidRDefault="0096795B" w:rsidP="0096795B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Kelemahan Organ Internal: Terutama hati dan ginjal, yang berperan dalam detoksifikasi tubuh dan kesehatan mata.  </w:t>
      </w:r>
    </w:p>
    <w:p w:rsidR="0096795B" w:rsidRPr="00B118E6" w:rsidRDefault="0096795B" w:rsidP="0096795B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Tidak Sehat: Konsumsi makanan gorengan, olahan, dan tinggi gula dapat memperburuk kesehatan mata.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 &amp; GEJALA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Hilangnya penglihatan tepi (penglihatan perifer) secara bertahap.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Nyeri mata hebat dan sakit kepala (pada glaukoma sudut tertutup akut).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Penglihatan kabur atau melihat lingkaran cahaya di sekitar lampu.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Mual dan muntah (pada kasus glaukoma akut).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Mata merah tanpa sebab yang jelas.  </w:t>
      </w:r>
    </w:p>
    <w:p w:rsidR="0096795B" w:rsidRPr="00B118E6" w:rsidRDefault="0096795B" w:rsidP="0096795B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Pada tahap lanjut: Hilangnya penglihatan sentral.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lastRenderedPageBreak/>
        <w:t xml:space="preserve">MEKANISME PENYAKIT  </w:t>
      </w:r>
    </w:p>
    <w:p w:rsidR="0096795B" w:rsidRPr="00B118E6" w:rsidRDefault="0096795B" w:rsidP="0096795B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Gangguan Drainase Cairan Mata: Penumpukan aqueous humor menyebabkan peningkatan tekanan intraokular.  </w:t>
      </w:r>
    </w:p>
    <w:p w:rsidR="0096795B" w:rsidRPr="00B118E6" w:rsidRDefault="0096795B" w:rsidP="0096795B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Kerusakan Saraf Optik: Tekanan tinggi merusak serat saraf optik, mengurangi kemampuan mata mengirim sinyal visual ke otak.  </w:t>
      </w:r>
    </w:p>
    <w:p w:rsidR="0096795B" w:rsidRPr="00B118E6" w:rsidRDefault="0096795B" w:rsidP="0096795B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Komplikasi: Jika tidak ditangani, dapat menyebabkan kebutaan permanen.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FAKTOR RISIKO  </w:t>
      </w:r>
    </w:p>
    <w:p w:rsidR="0096795B" w:rsidRPr="00B118E6" w:rsidRDefault="0096795B" w:rsidP="0096795B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lanjut (di atas 60 tahun).  </w:t>
      </w:r>
    </w:p>
    <w:p w:rsidR="0096795B" w:rsidRPr="00B118E6" w:rsidRDefault="0096795B" w:rsidP="0096795B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Riwayat keluarga dengan glaukoma.  </w:t>
      </w:r>
    </w:p>
    <w:p w:rsidR="0096795B" w:rsidRPr="00B118E6" w:rsidRDefault="0096795B" w:rsidP="0096795B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Hipertensi okular (tekanan bola mata tinggi).  </w:t>
      </w:r>
    </w:p>
    <w:p w:rsidR="0096795B" w:rsidRPr="00B118E6" w:rsidRDefault="0096795B" w:rsidP="0096795B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Miopia (rabun jauh) atau hipermetropia (rabun dekat).  </w:t>
      </w:r>
    </w:p>
    <w:p w:rsidR="0096795B" w:rsidRPr="00B118E6" w:rsidRDefault="0096795B" w:rsidP="0096795B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Gaya hidup tidak sehat: Merokok, pola makan buruk, dan kurang aktivitas fisik.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SARAN PENGOBATAN</w:t>
      </w:r>
    </w:p>
    <w:p w:rsidR="0096795B" w:rsidRPr="00B850C3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850C3">
        <w:rPr>
          <w:rFonts w:ascii="Malgun Gothic" w:eastAsia="Malgun Gothic" w:hAnsi="Malgun Gothic"/>
          <w:b/>
          <w:bCs/>
        </w:rPr>
        <w:t xml:space="preserve">A. Pengobatan Medis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 Tetes Mata:  </w:t>
      </w:r>
    </w:p>
    <w:p w:rsidR="0096795B" w:rsidRPr="00B850C3" w:rsidRDefault="0096795B" w:rsidP="00B850C3">
      <w:pPr>
        <w:pStyle w:val="ListParagraph"/>
        <w:numPr>
          <w:ilvl w:val="2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Prostaglandin Analog: Untuk meningkatkan aliran keluar cairan mata (contoh: latanoprost).  </w:t>
      </w:r>
    </w:p>
    <w:p w:rsidR="0096795B" w:rsidRPr="00B850C3" w:rsidRDefault="0096795B" w:rsidP="00B850C3">
      <w:pPr>
        <w:pStyle w:val="ListParagraph"/>
        <w:numPr>
          <w:ilvl w:val="2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Beta-Blocker: Untuk mengurangi produksi cairan mata (contoh: timolol).  </w:t>
      </w:r>
    </w:p>
    <w:p w:rsidR="0096795B" w:rsidRPr="00B850C3" w:rsidRDefault="0096795B" w:rsidP="00B850C3">
      <w:pPr>
        <w:pStyle w:val="ListParagraph"/>
        <w:numPr>
          <w:ilvl w:val="2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Alpha-Agonist: Untuk mengurangi produksi cairan dan meningkatkan aliran keluar (contoh: brimonidine).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Laser Therapy:  </w:t>
      </w:r>
    </w:p>
    <w:p w:rsidR="0096795B" w:rsidRPr="00B850C3" w:rsidRDefault="0096795B" w:rsidP="00B850C3">
      <w:pPr>
        <w:pStyle w:val="ListParagraph"/>
        <w:numPr>
          <w:ilvl w:val="2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Trabeculoplasty: Menggunakan laser untuk membuka saluran drainase cairan mata.  </w:t>
      </w:r>
    </w:p>
    <w:p w:rsidR="0096795B" w:rsidRPr="00B850C3" w:rsidRDefault="0096795B" w:rsidP="00B850C3">
      <w:pPr>
        <w:pStyle w:val="ListParagraph"/>
        <w:numPr>
          <w:ilvl w:val="2"/>
          <w:numId w:val="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Iridotomy: Membuat lubang kecil pada iris untuk memperbaiki aliran cairan mata (pada glaukoma sudut tertutup).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96795B" w:rsidRPr="00B850C3" w:rsidRDefault="0096795B" w:rsidP="00B850C3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Trabeculectomy: Operasi untuk membuat saluran baru bagi cairan mata.  </w:t>
      </w:r>
    </w:p>
    <w:p w:rsidR="0096795B" w:rsidRPr="00B850C3" w:rsidRDefault="0096795B" w:rsidP="00B850C3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Shunt Implant: Memasang alat untuk membantu drainase cairan mata.  </w:t>
      </w:r>
    </w:p>
    <w:p w:rsidR="0096795B" w:rsidRPr="00B850C3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850C3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96795B" w:rsidRPr="00B850C3" w:rsidRDefault="0096795B" w:rsidP="00B850C3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Wortel: Diminum sebagai jus untuk mendukung kesehatan mata (kaya vitamin A).  </w:t>
      </w:r>
    </w:p>
    <w:p w:rsidR="0096795B" w:rsidRPr="00B850C3" w:rsidRDefault="0096795B" w:rsidP="00B850C3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96795B" w:rsidRPr="00B850C3" w:rsidRDefault="0096795B" w:rsidP="00B850C3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Daun Sirih: Direbus dan diminum untuk membantu menjaga kesehatan mata.  </w:t>
      </w:r>
    </w:p>
    <w:p w:rsidR="00482835" w:rsidRDefault="0096795B" w:rsidP="00482835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>Madu Murni: Dikonsumsi untuk mendukung regene</w:t>
      </w:r>
      <w:r w:rsidR="00482835">
        <w:rPr>
          <w:rFonts w:ascii="Malgun Gothic" w:eastAsia="Malgun Gothic" w:hAnsi="Malgun Gothic"/>
        </w:rPr>
        <w:t>rasi sel dan daya tahan tubuh.</w:t>
      </w:r>
    </w:p>
    <w:p w:rsidR="0096795B" w:rsidRPr="00482835" w:rsidRDefault="0096795B" w:rsidP="00482835">
      <w:pPr>
        <w:pStyle w:val="ListParagraph"/>
        <w:numPr>
          <w:ilvl w:val="2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82835">
        <w:rPr>
          <w:rFonts w:ascii="Malgun Gothic" w:eastAsia="Malgun Gothic" w:hAnsi="Malgun Gothic"/>
        </w:rPr>
        <w:lastRenderedPageBreak/>
        <w:t xml:space="preserve">Kayu Manis: Membantu meningkatkan aliran darah ke mata.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96795B" w:rsidRPr="00482835" w:rsidRDefault="0096795B" w:rsidP="00482835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82835">
        <w:rPr>
          <w:rFonts w:ascii="Malgun Gothic" w:eastAsia="Malgun Gothic" w:hAnsi="Malgun Gothic"/>
        </w:rPr>
        <w:t xml:space="preserve">Titik Bekam: Area lokal di kepala atau leher untuk memperbaiki aliran darah ke mata.  </w:t>
      </w:r>
    </w:p>
    <w:p w:rsidR="0096795B" w:rsidRPr="00482835" w:rsidRDefault="0096795B" w:rsidP="00482835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482835">
        <w:rPr>
          <w:rFonts w:ascii="Malgun Gothic" w:eastAsia="Malgun Gothic" w:hAnsi="Malgun Gothic"/>
        </w:rPr>
        <w:t xml:space="preserve">Frekuensi: Setiap 2 minggu sekali sesuai kondisi pasien.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96795B" w:rsidRPr="00482835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2835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96795B" w:rsidRPr="00482835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2835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96795B" w:rsidRPr="00B850C3" w:rsidRDefault="0096795B" w:rsidP="00B850C3">
      <w:pPr>
        <w:pStyle w:val="ListParagraph"/>
        <w:numPr>
          <w:ilvl w:val="2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96795B" w:rsidRPr="00B850C3" w:rsidRDefault="0096795B" w:rsidP="00B850C3">
      <w:pPr>
        <w:pStyle w:val="ListParagraph"/>
        <w:numPr>
          <w:ilvl w:val="2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Vitamin A: Wortel, labu, ubi jalar, dan sayuran berwarna oranye.  </w:t>
      </w:r>
    </w:p>
    <w:p w:rsidR="0096795B" w:rsidRPr="00B850C3" w:rsidRDefault="0096795B" w:rsidP="00B850C3">
      <w:pPr>
        <w:pStyle w:val="ListParagraph"/>
        <w:numPr>
          <w:ilvl w:val="2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Omega-3: Ikan berlemak seperti salmon, sarden, dan tuna.  </w:t>
      </w:r>
    </w:p>
    <w:p w:rsidR="0096795B" w:rsidRPr="00B850C3" w:rsidRDefault="0096795B" w:rsidP="00B850C3">
      <w:pPr>
        <w:pStyle w:val="ListParagraph"/>
        <w:numPr>
          <w:ilvl w:val="2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Karbohidrat Kompleks: Oatmeal, nasi merah, roti gandum, dan quinoa.  </w:t>
      </w:r>
    </w:p>
    <w:p w:rsidR="0096795B" w:rsidRPr="00B850C3" w:rsidRDefault="0096795B" w:rsidP="00B850C3">
      <w:pPr>
        <w:pStyle w:val="ListParagraph"/>
        <w:numPr>
          <w:ilvl w:val="2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96795B" w:rsidRPr="00482835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2835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96795B" w:rsidRPr="00B850C3" w:rsidRDefault="0096795B" w:rsidP="00B850C3">
      <w:pPr>
        <w:pStyle w:val="ListParagraph"/>
        <w:numPr>
          <w:ilvl w:val="2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B850C3">
        <w:rPr>
          <w:rFonts w:ascii="Malgun Gothic" w:eastAsia="Malgun Gothic" w:hAnsi="Malgun Gothic"/>
        </w:rPr>
        <w:t>manis</w:t>
      </w:r>
      <w:proofErr w:type="gramEnd"/>
      <w:r w:rsidRPr="00B850C3">
        <w:rPr>
          <w:rFonts w:ascii="Malgun Gothic" w:eastAsia="Malgun Gothic" w:hAnsi="Malgun Gothic"/>
        </w:rPr>
        <w:t xml:space="preserve">.  </w:t>
      </w:r>
    </w:p>
    <w:p w:rsidR="0096795B" w:rsidRPr="00B850C3" w:rsidRDefault="0096795B" w:rsidP="00B850C3">
      <w:pPr>
        <w:pStyle w:val="ListParagraph"/>
        <w:numPr>
          <w:ilvl w:val="2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Makanan olahan: Keripik, makanan kaleng, dan camilan asin.  </w:t>
      </w:r>
    </w:p>
    <w:p w:rsidR="0096795B" w:rsidRPr="00B850C3" w:rsidRDefault="0096795B" w:rsidP="00B850C3">
      <w:pPr>
        <w:pStyle w:val="ListParagraph"/>
        <w:numPr>
          <w:ilvl w:val="2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96795B" w:rsidRPr="00B850C3" w:rsidRDefault="0096795B" w:rsidP="00B850C3">
      <w:pPr>
        <w:pStyle w:val="ListParagraph"/>
        <w:numPr>
          <w:ilvl w:val="2"/>
          <w:numId w:val="1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MODIFIKASI GAYA HIDUP  </w:t>
      </w:r>
    </w:p>
    <w:p w:rsidR="0096795B" w:rsidRPr="00B850C3" w:rsidRDefault="0096795B" w:rsidP="00B850C3">
      <w:pPr>
        <w:pStyle w:val="ListParagraph"/>
        <w:numPr>
          <w:ilvl w:val="2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Gunakan kacamata hitam dengan perlindungan UV saat berada di luar ruangan.  </w:t>
      </w:r>
    </w:p>
    <w:p w:rsidR="0096795B" w:rsidRPr="00B850C3" w:rsidRDefault="0096795B" w:rsidP="00B850C3">
      <w:pPr>
        <w:pStyle w:val="ListParagraph"/>
        <w:numPr>
          <w:ilvl w:val="2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Hindari merokok dan paparan </w:t>
      </w:r>
      <w:proofErr w:type="gramStart"/>
      <w:r w:rsidRPr="00B850C3">
        <w:rPr>
          <w:rFonts w:ascii="Malgun Gothic" w:eastAsia="Malgun Gothic" w:hAnsi="Malgun Gothic"/>
        </w:rPr>
        <w:t>asap</w:t>
      </w:r>
      <w:proofErr w:type="gramEnd"/>
      <w:r w:rsidRPr="00B850C3">
        <w:rPr>
          <w:rFonts w:ascii="Malgun Gothic" w:eastAsia="Malgun Gothic" w:hAnsi="Malgun Gothic"/>
        </w:rPr>
        <w:t xml:space="preserve"> rokok.  </w:t>
      </w:r>
    </w:p>
    <w:p w:rsidR="0096795B" w:rsidRPr="00B850C3" w:rsidRDefault="0096795B" w:rsidP="00B850C3">
      <w:pPr>
        <w:pStyle w:val="ListParagraph"/>
        <w:numPr>
          <w:ilvl w:val="2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Lakukan pemeriksaan mata rutin setiap 1-2 tahun, terutama bagi individu di atas </w:t>
      </w:r>
      <w:proofErr w:type="gramStart"/>
      <w:r w:rsidRPr="00B850C3">
        <w:rPr>
          <w:rFonts w:ascii="Malgun Gothic" w:eastAsia="Malgun Gothic" w:hAnsi="Malgun Gothic"/>
        </w:rPr>
        <w:t>usia</w:t>
      </w:r>
      <w:proofErr w:type="gramEnd"/>
      <w:r w:rsidRPr="00B850C3">
        <w:rPr>
          <w:rFonts w:ascii="Malgun Gothic" w:eastAsia="Malgun Gothic" w:hAnsi="Malgun Gothic"/>
        </w:rPr>
        <w:t xml:space="preserve"> 40 tahun.  </w:t>
      </w:r>
    </w:p>
    <w:p w:rsidR="0096795B" w:rsidRPr="00B850C3" w:rsidRDefault="0096795B" w:rsidP="00B850C3">
      <w:pPr>
        <w:pStyle w:val="ListParagraph"/>
        <w:numPr>
          <w:ilvl w:val="2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Tidur yang cukup (7-8 jam per malam) untuk menjaga kesehatan mata dan tubuh secara keseluruhan.  </w:t>
      </w:r>
    </w:p>
    <w:p w:rsidR="0096795B" w:rsidRPr="00B850C3" w:rsidRDefault="0096795B" w:rsidP="00B850C3">
      <w:pPr>
        <w:pStyle w:val="ListParagraph"/>
        <w:numPr>
          <w:ilvl w:val="2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96795B" w:rsidRPr="00B850C3" w:rsidRDefault="0096795B" w:rsidP="00B850C3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Vitamin A: Mendukung kesehatan retina dan penglihatan malam.  </w:t>
      </w:r>
    </w:p>
    <w:p w:rsidR="0096795B" w:rsidRPr="00B850C3" w:rsidRDefault="0096795B" w:rsidP="00B850C3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Vitamin C: Antioksidan yang membantu melindungi lensa mata dari kerusakan oksidatif.  </w:t>
      </w:r>
    </w:p>
    <w:p w:rsidR="0096795B" w:rsidRPr="00B850C3" w:rsidRDefault="0096795B" w:rsidP="00B850C3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 xml:space="preserve">Vitamin E: Melindungi membran sel mata dari radikal bebas.  </w:t>
      </w:r>
    </w:p>
    <w:p w:rsidR="00B850C3" w:rsidRDefault="0096795B" w:rsidP="00B850C3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t>Zinc: Meningkatkan fungsi retina</w:t>
      </w:r>
      <w:r w:rsidR="00B850C3">
        <w:rPr>
          <w:rFonts w:ascii="Malgun Gothic" w:eastAsia="Malgun Gothic" w:hAnsi="Malgun Gothic"/>
        </w:rPr>
        <w:t xml:space="preserve"> dan mendukung kesehatan mata.</w:t>
      </w:r>
    </w:p>
    <w:p w:rsidR="0096795B" w:rsidRPr="00B850C3" w:rsidRDefault="0096795B" w:rsidP="00B850C3">
      <w:pPr>
        <w:pStyle w:val="ListParagraph"/>
        <w:numPr>
          <w:ilvl w:val="2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850C3">
        <w:rPr>
          <w:rFonts w:ascii="Malgun Gothic" w:eastAsia="Malgun Gothic" w:hAnsi="Malgun Gothic"/>
        </w:rPr>
        <w:lastRenderedPageBreak/>
        <w:t xml:space="preserve">Lutein dan Zeaxanthin: Antioksidan yang terdapat dalam sayuran hijau, membantu melindungi mata dari sinar UV.  </w:t>
      </w: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</w:rPr>
      </w:pPr>
    </w:p>
    <w:p w:rsidR="0096795B" w:rsidRPr="00B118E6" w:rsidRDefault="0096795B" w:rsidP="0096795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TANDA-TANDA PEMULIHAN  </w:t>
      </w:r>
    </w:p>
    <w:p w:rsidR="0096795B" w:rsidRPr="00B118E6" w:rsidRDefault="0096795B" w:rsidP="0096795B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Stabilisasi tekanan intraokular dalam batas normal.  </w:t>
      </w:r>
    </w:p>
    <w:p w:rsidR="0096795B" w:rsidRPr="00B118E6" w:rsidRDefault="0096795B" w:rsidP="0096795B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Berkurangnya gejala seperti nyeri mata atau penglihatan kabur.  </w:t>
      </w:r>
    </w:p>
    <w:p w:rsidR="0096795B" w:rsidRPr="00B118E6" w:rsidRDefault="0096795B" w:rsidP="0096795B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Peningkatan penglihatan tepi (perifer).  </w:t>
      </w:r>
    </w:p>
    <w:p w:rsidR="0096795B" w:rsidRPr="00B118E6" w:rsidRDefault="0096795B" w:rsidP="0096795B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Hasil pemeriksaan mata yang menunjukkan perlambatan kerusakan saraf optik.  </w:t>
      </w:r>
    </w:p>
    <w:p w:rsidR="0096795B" w:rsidRPr="00B118E6" w:rsidRDefault="0096795B" w:rsidP="0096795B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Peningkatan kualitas hidup secara keseluruhan.  </w:t>
      </w:r>
    </w:p>
    <w:p w:rsidR="00B850C3" w:rsidRDefault="00B850C3" w:rsidP="0096795B">
      <w:pPr>
        <w:spacing w:after="0" w:line="240" w:lineRule="auto"/>
        <w:rPr>
          <w:rFonts w:ascii="Malgun Gothic" w:eastAsia="Malgun Gothic" w:hAnsi="Malgun Gothic"/>
        </w:rPr>
      </w:pPr>
    </w:p>
    <w:p w:rsid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Glaukoma: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>Pendekatan Berbasis Reseptor &amp;</w:t>
      </w:r>
      <w:r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 Ritme Sirkadian Neuroproteksi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4778F">
        <w:rPr>
          <w:rFonts w:ascii="Malgun Gothic" w:eastAsia="Malgun Gothic" w:hAnsi="Malgun Gothic"/>
        </w:rPr>
        <w:t>Formula kapsul herbal ini dirancang khusus untuk mengatasi glaukoma, baik dalam kondisi akut (jangka pendek) maupun kronis.</w:t>
      </w:r>
      <w:proofErr w:type="gramEnd"/>
      <w:r w:rsidRPr="00B4778F">
        <w:rPr>
          <w:rFonts w:ascii="Malgun Gothic" w:eastAsia="Malgun Gothic" w:hAnsi="Malgun Gothic"/>
        </w:rPr>
        <w:t xml:space="preserve"> </w:t>
      </w:r>
      <w:proofErr w:type="gramStart"/>
      <w:r w:rsidRPr="00B4778F">
        <w:rPr>
          <w:rFonts w:ascii="Malgun Gothic" w:eastAsia="Malgun Gothic" w:hAnsi="Malgun Gothic"/>
        </w:rPr>
        <w:t>Pendekatan berbasis reseptor (TrkB, Nrf2, NF-κB, dan COX-2) serta ritme sirkadian digunakan untuk memastikan efektivitas formula dalam menurunkan tekanan intraokular (TIO), melindungi saraf optik dari kerusakan, dan mencegah kehilangan penglihatan.</w:t>
      </w:r>
      <w:proofErr w:type="gramEnd"/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1. Menurunkan Tekanan Intraokular (TIO)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Mengurangi produksi cairan humor aqueous atau meningkatkan drainase cairan untuk menurunkan tekanan pada mata.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2. Melindungi Saraf Optik dari Kerusakan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Mencegah degenerasi sel ganglion retina dan serabut saraf optik yang disebabkan oleh tekanan tinggi.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3. Meningkatkan Fungsi Neuroprotektif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Membantu tubuh membangun respons perlindungan terhadap stres oksidatif dan inflamasi pada mata.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B4778F" w:rsidRDefault="00B4778F" w:rsidP="00B4778F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TrkB Pathway</w:t>
      </w:r>
      <w:r>
        <w:rPr>
          <w:rFonts w:ascii="Malgun Gothic" w:eastAsia="Malgun Gothic" w:hAnsi="Malgun Gothic"/>
        </w:rPr>
        <w:t xml:space="preserve">: </w:t>
      </w:r>
      <w:r w:rsidRPr="00B4778F">
        <w:rPr>
          <w:rFonts w:ascii="Malgun Gothic" w:eastAsia="Malgun Gothic" w:hAnsi="Malgun Gothic"/>
        </w:rPr>
        <w:t>Mengaktifkan jalur BDNF/TrkB untuk melindungi sel ganglion retina dan saraf optik dari degenerasi.</w:t>
      </w:r>
    </w:p>
    <w:p w:rsidR="00B4778F" w:rsidRDefault="00B4778F" w:rsidP="00B4778F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Nrf2 Pathway</w:t>
      </w:r>
      <w:r>
        <w:rPr>
          <w:rFonts w:ascii="Malgun Gothic" w:eastAsia="Malgun Gothic" w:hAnsi="Malgun Gothic"/>
        </w:rPr>
        <w:t xml:space="preserve">: </w:t>
      </w:r>
      <w:r w:rsidRPr="00B4778F">
        <w:rPr>
          <w:rFonts w:ascii="Malgun Gothic" w:eastAsia="Malgun Gothic" w:hAnsi="Malgun Gothic"/>
        </w:rPr>
        <w:t>Melindungi sel-sel mata dari kerusakan akibat stres oksidatif.</w:t>
      </w:r>
    </w:p>
    <w:p w:rsidR="00B4778F" w:rsidRDefault="00B4778F" w:rsidP="00B4778F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NF-κB Pathway</w:t>
      </w:r>
      <w:r>
        <w:rPr>
          <w:rFonts w:ascii="Malgun Gothic" w:eastAsia="Malgun Gothic" w:hAnsi="Malgun Gothic"/>
        </w:rPr>
        <w:t xml:space="preserve">: </w:t>
      </w:r>
      <w:r w:rsidRPr="00B4778F">
        <w:rPr>
          <w:rFonts w:ascii="Malgun Gothic" w:eastAsia="Malgun Gothic" w:hAnsi="Malgun Gothic"/>
        </w:rPr>
        <w:t>Mengurangi inflamasi kronis pada jaringan mata yang dapat memperparah kerusakan saraf optik.</w:t>
      </w:r>
    </w:p>
    <w:p w:rsidR="00B4778F" w:rsidRDefault="00B4778F" w:rsidP="00B4778F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lastRenderedPageBreak/>
        <w:t>COX-2 Pathway</w:t>
      </w:r>
      <w:r>
        <w:rPr>
          <w:rFonts w:ascii="Malgun Gothic" w:eastAsia="Malgun Gothic" w:hAnsi="Malgun Gothic"/>
        </w:rPr>
        <w:t xml:space="preserve">: </w:t>
      </w:r>
      <w:r w:rsidRPr="00B4778F">
        <w:rPr>
          <w:rFonts w:ascii="Malgun Gothic" w:eastAsia="Malgun Gothic" w:hAnsi="Malgun Gothic"/>
        </w:rPr>
        <w:t>Menghambat enzim siklooksigenase-2 (COX-2) yang berperan dalam peradangan mata.</w:t>
      </w:r>
    </w:p>
    <w:p w:rsidR="00B4778F" w:rsidRPr="00622221" w:rsidRDefault="00B4778F" w:rsidP="00622221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Detoksifikasi Enzyme System (CYP450)</w:t>
      </w:r>
      <w:r w:rsidR="00622221">
        <w:rPr>
          <w:rFonts w:ascii="Malgun Gothic" w:eastAsia="Malgun Gothic" w:hAnsi="Malgun Gothic"/>
        </w:rPr>
        <w:t xml:space="preserve">: </w:t>
      </w:r>
      <w:r w:rsidRPr="00622221">
        <w:rPr>
          <w:rFonts w:ascii="Malgun Gothic" w:eastAsia="Malgun Gothic" w:hAnsi="Malgun Gothic"/>
        </w:rPr>
        <w:t>Mendukung metabolisme racun dalam tubuh yang dapat memperburuk kondisi glaukoma.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B4778F" w:rsidRPr="00B4778F" w:rsidRDefault="00B4778F" w:rsidP="00B4778F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Pagi Hari: Aktivitas metabolisme tubuh cenderung meningkat saat tubuh mulai aktif. Konsumsi formula di pagi hari membantu menurunkan TIO dan melindungi mata dari stres oksidatif.</w:t>
      </w:r>
    </w:p>
    <w:p w:rsidR="00B4778F" w:rsidRPr="00B4778F" w:rsidRDefault="00B4778F" w:rsidP="00B4778F">
      <w:pPr>
        <w:pStyle w:val="ListParagraph"/>
        <w:numPr>
          <w:ilvl w:val="2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Malam Hari: Proses regenerasi alami tubuh lebih optimal saat istirahat. Konsumsi malam hari mendukung neuroproteksi dan pemulihan saraf optik.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Formulasi Pengobatan Cepat (Jangka Pendek/Akut)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#Komposisi per Kapsul (600 mg)</w:t>
      </w:r>
    </w:p>
    <w:tbl>
      <w:tblPr>
        <w:tblW w:w="8792" w:type="dxa"/>
        <w:jc w:val="center"/>
        <w:tblInd w:w="89" w:type="dxa"/>
        <w:tblLook w:val="04A0"/>
      </w:tblPr>
      <w:tblGrid>
        <w:gridCol w:w="2878"/>
        <w:gridCol w:w="2288"/>
        <w:gridCol w:w="3626"/>
      </w:tblGrid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b/>
                <w:bCs/>
                <w:color w:val="1D1D20"/>
                <w:sz w:val="20"/>
                <w:szCs w:val="20"/>
              </w:rPr>
              <w:t>Fungsi Utama</w:t>
            </w:r>
          </w:p>
        </w:tc>
      </w:tr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Antioksidan, antiinflamasi, neuroprotektif</w:t>
            </w:r>
          </w:p>
        </w:tc>
      </w:tr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Ginkgo biloba</w:t>
            </w: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Flavonoid, terpenoid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Meningkatkan aliran darah ke mata, neuroprotektif</w:t>
            </w:r>
          </w:p>
        </w:tc>
      </w:tr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Vaccinium myrtillus</w:t>
            </w: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(buah)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Anthocyanin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Melindungi retina, antioksidan</w:t>
            </w:r>
          </w:p>
        </w:tc>
      </w:tr>
      <w:tr w:rsidR="00B4778F" w:rsidRPr="00B4778F" w:rsidTr="00B4778F">
        <w:trPr>
          <w:trHeight w:val="499"/>
          <w:jc w:val="center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Centella asiatica</w:t>
            </w: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(daun)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Asiaticoside, madecassoside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F" w:rsidRPr="00B4778F" w:rsidRDefault="00B4778F" w:rsidP="00B4778F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B4778F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Neuroprotektif, regenerasi jaringan saraf</w:t>
            </w:r>
          </w:p>
        </w:tc>
      </w:tr>
    </w:tbl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Total Netto: 600 mg/kapsul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  <w:b/>
          <w:bCs/>
          <w:caps/>
          <w:sz w:val="24"/>
          <w:szCs w:val="24"/>
        </w:rPr>
        <w:t>Mekanisme Aksi Sinergis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1. Nigella sativa + Ginkgo biloba: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Thymoquinone dan flavonoid bekerja sinergis untuk melindungi saraf optik dari degenerasi dan meningkatkan aliran darah ke mata.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2. Curcuma longa + Vaccinium myrtillus: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Kurkumin dan anthocyanin membantu melindungi retina dan sel ganglion retina dari kerusakan akibat radikal bebas.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3. Centella asiatica + Nigella sativa: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lastRenderedPageBreak/>
        <w:t xml:space="preserve">   - Asiaticoside dan thymoquinone mendukung regenerasi jaringan saraf optik dan mencegah kerusakan lebih lanjut.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4. Aktivasi TrkB Pathway: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Mengaktifkan jalur BDNF/TrkB untuk melindungi sel ganglion retina dan saraf optik.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5. Nrf2 Pathway: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Melindungi sel-sel mata dari kerusakan akibat stres oksidatif.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Aturan Konsumsi (Berbasis Ritme Sirkadian)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| Waktu Konsumsi | Dosis               | Fungsi Ritmik                                                                 |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|---------------------|-------------------------|----------------------------------------------------------------------------------|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| Pagi (07.00–08.00</w:t>
      </w:r>
      <w:proofErr w:type="gramStart"/>
      <w:r w:rsidRPr="00B4778F">
        <w:rPr>
          <w:rFonts w:ascii="Malgun Gothic" w:eastAsia="Malgun Gothic" w:hAnsi="Malgun Gothic"/>
        </w:rPr>
        <w:t>)  |</w:t>
      </w:r>
      <w:proofErr w:type="gramEnd"/>
      <w:r w:rsidRPr="00B4778F">
        <w:rPr>
          <w:rFonts w:ascii="Malgun Gothic" w:eastAsia="Malgun Gothic" w:hAnsi="Malgun Gothic"/>
        </w:rPr>
        <w:t xml:space="preserve"> 1 kapsul sebelum sarapan| Menyiapkan mata untuk aktivitas harian dan menurunkan tekanan intraokular.        |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| Siang (13.00–14.00) | 1 kapsul sesudah </w:t>
      </w:r>
      <w:proofErr w:type="gramStart"/>
      <w:r w:rsidRPr="00B4778F">
        <w:rPr>
          <w:rFonts w:ascii="Malgun Gothic" w:eastAsia="Malgun Gothic" w:hAnsi="Malgun Gothic"/>
        </w:rPr>
        <w:t>makan  |</w:t>
      </w:r>
      <w:proofErr w:type="gramEnd"/>
      <w:r w:rsidRPr="00B4778F">
        <w:rPr>
          <w:rFonts w:ascii="Malgun Gothic" w:eastAsia="Malgun Gothic" w:hAnsi="Malgun Gothic"/>
        </w:rPr>
        <w:t xml:space="preserve"> Mendukung aliran darah ke mata setelah aktivitas fisik.                          |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| Malam (20.00–21.00) | 1 kapsul setelah makan malam | Memaksimalkan proses neuroproteksi dan regenerasi saraf optik selama istirahat. |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Catatan Penggunaan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 Alternatif herbal ini dapat digunakan sebagai pelengkap pengobatan medis untuk glaukoma.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 Disarankan menjaga pola hidup sehat: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- Hindari paparan cahaya terang atau layar digital terlalu lama.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- Minum air putih minimal 2 liter/hari untuk menjaga keseimbangan cairan tubuh.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- Jaga kebersihan lingkungan dan hindari trauma mata.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 Segera hentikan konsumsi jika gejala seperti nyeri mata parah, penglihatan kabur, atau reaksi alergi lainnya tidak membaik.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lastRenderedPageBreak/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Kontraindikasi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Formula ini tidak dianjurkan untuk kelompok tertentu karena potensi risiko: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1. Ibu Hamil dan Menyusui: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Beberapa bahan memiliki efek stimulasi uterus atau belum terbukti aman dalam dosis tinggi.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2. Gangguan Hati atau Ginjal Parah: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Efek detoksifikasi dan metabolisme bahan herbal mungkin tidak cocok untuk individu dengan gangguan hati atau ginjal.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3. Gangguan Pembekuan Darah: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Bahan seperti *Ginkgo biloba* dapat meningkatkan risiko pendarahan.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4. Alergi Terhadap Herbal: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Hindari penggunaan jika ada riwayat hipersensitivitas terhadap salah satu bahan.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Interaksi Obat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1. Obat Penurun Tekanan Intraokular: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Formula ini dapat meningkatkan efek obat penurun TIO sintetis.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2. Obat Hepatotoksik: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Penggunaan bersamaan dapat memengaruhi metabolisme hati.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3. Obat Antikoagulan: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</w:t>
      </w:r>
      <w:proofErr w:type="gramStart"/>
      <w:r w:rsidRPr="00B4778F">
        <w:rPr>
          <w:rFonts w:ascii="Malgun Gothic" w:eastAsia="Malgun Gothic" w:hAnsi="Malgun Gothic"/>
        </w:rPr>
        <w:t>- *Ginkgo biloba* dapat meningkatkan risiko pendarahan jika digunakan bersamaan dengan obat antikoagulan.</w:t>
      </w:r>
      <w:proofErr w:type="gramEnd"/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4. Enzim Metabolisme Obat (CYP450):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</w:t>
      </w:r>
      <w:proofErr w:type="gramStart"/>
      <w:r w:rsidRPr="00B4778F">
        <w:rPr>
          <w:rFonts w:ascii="Malgun Gothic" w:eastAsia="Malgun Gothic" w:hAnsi="Malgun Gothic"/>
        </w:rPr>
        <w:t>- *Curcuma longa* dapat memengaruhi aktivitas enzim CYP3A4 dan CYP2C9.</w:t>
      </w:r>
      <w:proofErr w:type="gramEnd"/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Efek Samping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1. Gangguan Pencernaan: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Mual, diare, mulas, kembung, atau iritasi lambung.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2. Reaksi Alergi Ringan: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Ruam kulit, gatal, atau reaksi lainnya.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3. Efek Sedatif Ringan: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Rasa kantuk akibat *Ginkgo biloba*.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4. Masalah Gigi &amp; Mulut: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Iritasi gusi akibat *Centella asiatica*.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5. Iritasi Lambung:  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 xml:space="preserve">   - Akibat sifat iritan dari beberapa bahan seperti *Curcuma longa*.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  <w:r w:rsidRPr="00B4778F">
        <w:rPr>
          <w:rFonts w:ascii="Malgun Gothic" w:eastAsia="Malgun Gothic" w:hAnsi="Malgun Gothic"/>
        </w:rPr>
        <w:t>---</w:t>
      </w:r>
    </w:p>
    <w:p w:rsidR="00B4778F" w:rsidRPr="00B4778F" w:rsidRDefault="00B4778F" w:rsidP="00B4778F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778F" w:rsidP="00B4778F">
      <w:pPr>
        <w:spacing w:after="0" w:line="240" w:lineRule="auto"/>
      </w:pPr>
      <w:proofErr w:type="gramStart"/>
      <w:r w:rsidRPr="00B4778F">
        <w:rPr>
          <w:rFonts w:ascii="Malgun Gothic" w:eastAsia="Malgun Gothic" w:hAnsi="Malgun Gothic"/>
        </w:rPr>
        <w:t>Dengan pendekatan berbasis reseptor dan ritme sirkadian, formula ini menawarkan solusi herbal yang efektif untuk mengatasi glaukoma.</w:t>
      </w:r>
      <w:proofErr w:type="gramEnd"/>
      <w:r w:rsidRPr="00B4778F">
        <w:rPr>
          <w:rFonts w:ascii="Malgun Gothic" w:eastAsia="Malgun Gothic" w:hAnsi="Malgun Gothic"/>
        </w:rPr>
        <w:t xml:space="preserve"> </w:t>
      </w:r>
      <w:proofErr w:type="gramStart"/>
      <w:r w:rsidRPr="00B4778F">
        <w:rPr>
          <w:rFonts w:ascii="Malgun Gothic" w:eastAsia="Malgun Gothic" w:hAnsi="Malgun Gothic"/>
        </w:rPr>
        <w:t>Namun, penggunaan harus disesuaikan dengan kondisi kesehatan individu dan di bawah pengawasan profesional medis.</w:t>
      </w:r>
      <w:proofErr w:type="gramEnd"/>
    </w:p>
    <w:sectPr w:rsidR="00B422D9" w:rsidSect="0096795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F2E"/>
    <w:multiLevelType w:val="hybridMultilevel"/>
    <w:tmpl w:val="250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A209D"/>
    <w:multiLevelType w:val="hybridMultilevel"/>
    <w:tmpl w:val="C24E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230D2"/>
    <w:multiLevelType w:val="hybridMultilevel"/>
    <w:tmpl w:val="2A26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1B6D"/>
    <w:multiLevelType w:val="hybridMultilevel"/>
    <w:tmpl w:val="A80E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07441"/>
    <w:multiLevelType w:val="hybridMultilevel"/>
    <w:tmpl w:val="84A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D2A8A"/>
    <w:multiLevelType w:val="hybridMultilevel"/>
    <w:tmpl w:val="3456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351CB"/>
    <w:multiLevelType w:val="hybridMultilevel"/>
    <w:tmpl w:val="40A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44789"/>
    <w:multiLevelType w:val="hybridMultilevel"/>
    <w:tmpl w:val="214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2986"/>
    <w:multiLevelType w:val="hybridMultilevel"/>
    <w:tmpl w:val="7DF0C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90B85"/>
    <w:multiLevelType w:val="hybridMultilevel"/>
    <w:tmpl w:val="00C6F8C8"/>
    <w:lvl w:ilvl="0" w:tplc="C018C96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41575"/>
    <w:multiLevelType w:val="hybridMultilevel"/>
    <w:tmpl w:val="C702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112E6"/>
    <w:multiLevelType w:val="hybridMultilevel"/>
    <w:tmpl w:val="4F4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B6427"/>
    <w:multiLevelType w:val="hybridMultilevel"/>
    <w:tmpl w:val="CDDE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C7D74"/>
    <w:multiLevelType w:val="hybridMultilevel"/>
    <w:tmpl w:val="3744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C06AA"/>
    <w:multiLevelType w:val="hybridMultilevel"/>
    <w:tmpl w:val="A66AE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B704F1"/>
    <w:multiLevelType w:val="hybridMultilevel"/>
    <w:tmpl w:val="870A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5479F"/>
    <w:multiLevelType w:val="hybridMultilevel"/>
    <w:tmpl w:val="695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2EF832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803C1"/>
    <w:multiLevelType w:val="hybridMultilevel"/>
    <w:tmpl w:val="6630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47C7D"/>
    <w:multiLevelType w:val="hybridMultilevel"/>
    <w:tmpl w:val="58D6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10"/>
  </w:num>
  <w:num w:numId="6">
    <w:abstractNumId w:val="15"/>
  </w:num>
  <w:num w:numId="7">
    <w:abstractNumId w:val="9"/>
  </w:num>
  <w:num w:numId="8">
    <w:abstractNumId w:val="17"/>
  </w:num>
  <w:num w:numId="9">
    <w:abstractNumId w:val="1"/>
  </w:num>
  <w:num w:numId="10">
    <w:abstractNumId w:val="2"/>
  </w:num>
  <w:num w:numId="11">
    <w:abstractNumId w:val="0"/>
  </w:num>
  <w:num w:numId="12">
    <w:abstractNumId w:val="13"/>
  </w:num>
  <w:num w:numId="13">
    <w:abstractNumId w:val="12"/>
  </w:num>
  <w:num w:numId="14">
    <w:abstractNumId w:val="18"/>
  </w:num>
  <w:num w:numId="15">
    <w:abstractNumId w:val="7"/>
  </w:num>
  <w:num w:numId="16">
    <w:abstractNumId w:val="3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96795B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3AFE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2835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21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900C2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6795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4778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0C3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BD0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2025-05-19T07:56:00Z</dcterms:created>
  <dcterms:modified xsi:type="dcterms:W3CDTF">2025-06-08T01:25:00Z</dcterms:modified>
</cp:coreProperties>
</file>