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06" w:rsidRPr="00456E0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456E06">
        <w:rPr>
          <w:rFonts w:ascii="Malgun Gothic" w:eastAsia="Malgun Gothic" w:hAnsi="Malgun Gothic"/>
          <w:b/>
          <w:bCs/>
          <w:sz w:val="28"/>
          <w:szCs w:val="28"/>
        </w:rPr>
        <w:t xml:space="preserve">HAID TIDAK LANCAR (MENSTRUASI TIDAK TERATUR)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Haid tidak lancar atau menstruasi tidak teratur adalah kondisi di mana siklus menstruasi wanita tidak mengikuti pola normal (21-35 hari) atau volume darah haid berbeda dari biasanya.</w:t>
      </w:r>
      <w:proofErr w:type="gramEnd"/>
      <w:r w:rsidRPr="00B118E6">
        <w:rPr>
          <w:rFonts w:ascii="Malgun Gothic" w:eastAsia="Malgun Gothic" w:hAnsi="Malgun Gothic"/>
        </w:rPr>
        <w:t xml:space="preserve"> Kondisi ini dapat disebabkan oleh berbagai faktor, termasuk ketidakseimbangan hormon, stres, </w:t>
      </w:r>
      <w:proofErr w:type="gramStart"/>
      <w:r w:rsidRPr="00B118E6">
        <w:rPr>
          <w:rFonts w:ascii="Malgun Gothic" w:eastAsia="Malgun Gothic" w:hAnsi="Malgun Gothic"/>
        </w:rPr>
        <w:t>gaya</w:t>
      </w:r>
      <w:proofErr w:type="gramEnd"/>
      <w:r w:rsidRPr="00B118E6">
        <w:rPr>
          <w:rFonts w:ascii="Malgun Gothic" w:eastAsia="Malgun Gothic" w:hAnsi="Malgun Gothic"/>
        </w:rPr>
        <w:t xml:space="preserve"> hidup tidak sehat, atau gangguan medis tertentu. </w:t>
      </w:r>
      <w:proofErr w:type="gramStart"/>
      <w:r w:rsidRPr="00B118E6">
        <w:rPr>
          <w:rFonts w:ascii="Malgun Gothic" w:eastAsia="Malgun Gothic" w:hAnsi="Malgun Gothic"/>
        </w:rPr>
        <w:t>Meskipun umumnya tidak berbahaya, haid tidak lancar dapat memengaruhi kesehatan reproduksi dan kualitas hidup jika tidak ditangani dengan baik.</w:t>
      </w:r>
      <w:proofErr w:type="gramEnd"/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783022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3022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456E06" w:rsidRPr="00783022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783022">
        <w:rPr>
          <w:rFonts w:ascii="Malgun Gothic" w:eastAsia="Malgun Gothic" w:hAnsi="Malgun Gothic"/>
          <w:b/>
          <w:bCs/>
        </w:rPr>
        <w:t xml:space="preserve">A. Faktor Medis Modern: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Ketidakseimbangan Hormon: Fluktuasi estrogen dan progesteron dapat menyebabkan siklus haid tidak teratur.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PCOS (Polycystic Ovary Syndrome): Gangguan hormonal yang menyebabkan pembentukan kista di ovarium dan siklus haid tidak teratur.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Stres Psikologis: Stres dapat memengaruhi fungsi hipotalamus, bagian otak yang mengatur siklus menstruasi.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Gangguan Tiroid: Hipotiroidisme atau hipertiroidisme dapat memengaruhi siklus haid.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Berat Badan Ekstrem: Obesitas atau kekurangan berat badan dapat mengganggu produksi hormon.  </w:t>
      </w:r>
    </w:p>
    <w:p w:rsidR="00456E06" w:rsidRPr="00783022" w:rsidRDefault="00456E06" w:rsidP="00783022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Aktivitas Fisik Berlebih: Atlet atau individu yang berolahraga secara intensif mungkin mengalami gangguan siklus haid.  </w:t>
      </w:r>
    </w:p>
    <w:p w:rsidR="00456E06" w:rsidRPr="00783022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783022">
        <w:rPr>
          <w:rFonts w:ascii="Malgun Gothic" w:eastAsia="Malgun Gothic" w:hAnsi="Malgun Gothic"/>
          <w:b/>
          <w:bCs/>
        </w:rPr>
        <w:t xml:space="preserve">B. Faktor Herbal &amp; Thibb An-Nabawi:  </w:t>
      </w:r>
    </w:p>
    <w:p w:rsidR="00456E06" w:rsidRPr="00783022" w:rsidRDefault="00456E06" w:rsidP="00783022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Ketidakseimbangan Energi Tubuh: Akibat konsumsi makanan dingin atau panas secara berlebihan.  </w:t>
      </w:r>
    </w:p>
    <w:p w:rsidR="00456E06" w:rsidRPr="00783022" w:rsidRDefault="00456E06" w:rsidP="00783022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Kelemahan Organ Internal: Terutama rahim, ovarium, dan sistem reproduksi lainnya.  </w:t>
      </w:r>
    </w:p>
    <w:p w:rsidR="00456E06" w:rsidRPr="00783022" w:rsidRDefault="00456E06" w:rsidP="00783022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Makanan Tidak Sehat: Konsumsi makanan dingin, pedas, atau gorengan dapat memperburuk keseimbangan tubuh.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783022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3022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456E06" w:rsidRPr="00783022" w:rsidRDefault="00456E06" w:rsidP="007830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Siklus haid lebih pendek (&lt;21 hari) atau lebih panjang (&gt;35 hari).  </w:t>
      </w:r>
    </w:p>
    <w:p w:rsidR="00456E06" w:rsidRPr="00783022" w:rsidRDefault="00456E06" w:rsidP="007830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Volume darah haid sangat sedikit (hipomenore) atau sangat banyak (menoragia).  </w:t>
      </w:r>
    </w:p>
    <w:p w:rsidR="00456E06" w:rsidRPr="00783022" w:rsidRDefault="00456E06" w:rsidP="007830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Amenore: Tidak menstruasi selama 3 bulan atau lebih.  </w:t>
      </w:r>
    </w:p>
    <w:p w:rsidR="00456E06" w:rsidRPr="00783022" w:rsidRDefault="00456E06" w:rsidP="007830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Nyeri perut yang parah saat haid (dismenore).  </w:t>
      </w:r>
    </w:p>
    <w:p w:rsidR="00456E06" w:rsidRPr="00783022" w:rsidRDefault="00456E06" w:rsidP="00783022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Perubahan suasana hati, kelelahan, atau gejala pramenstruasi (PMS) yang berlebihan.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783022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3022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456E06" w:rsidRPr="00783022" w:rsidRDefault="00456E06" w:rsidP="00783022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Ketidakseimbangan Hormon: Estrogen atau progesteron yang tidak stabil memengaruhi penebalan lapisan rahim.  </w:t>
      </w:r>
    </w:p>
    <w:p w:rsidR="00456E06" w:rsidRPr="00783022" w:rsidRDefault="00456E06" w:rsidP="00783022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Ovulasi Tidak Teratur: Ovarium gagal melepaskan sel telur secara teratur.  </w:t>
      </w:r>
    </w:p>
    <w:p w:rsidR="00456E06" w:rsidRPr="00783022" w:rsidRDefault="00456E06" w:rsidP="00783022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Peradangan Lokal: Gangguan pada organ reproduksi dapat menyebabkan peradangan atau infeksi.  </w:t>
      </w:r>
    </w:p>
    <w:p w:rsidR="00456E06" w:rsidRPr="00783022" w:rsidRDefault="00456E06" w:rsidP="00783022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3022">
        <w:rPr>
          <w:rFonts w:ascii="Malgun Gothic" w:eastAsia="Malgun Gothic" w:hAnsi="Malgun Gothic"/>
        </w:rPr>
        <w:t xml:space="preserve">Komplikasi: Jika tidak ditangani, dapat menyebabkan kesulitan hamil (infertilitas) atau gangguan kesehatan lainnya.  </w:t>
      </w:r>
    </w:p>
    <w:p w:rsidR="00783022" w:rsidRPr="00B118E6" w:rsidRDefault="00783022" w:rsidP="00783022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456E06" w:rsidRPr="009D65D9" w:rsidRDefault="00456E06" w:rsidP="009D65D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Riwayat keluarga dengan gangguan menstruasi atau PCOS.  </w:t>
      </w:r>
    </w:p>
    <w:p w:rsidR="00456E06" w:rsidRPr="009D65D9" w:rsidRDefault="00456E06" w:rsidP="009D65D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Pola makan tidak sehat atau kurang gizi.  </w:t>
      </w:r>
    </w:p>
    <w:p w:rsidR="00456E06" w:rsidRPr="009D65D9" w:rsidRDefault="00456E06" w:rsidP="009D65D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Stres psikologis atau fisik.  </w:t>
      </w:r>
    </w:p>
    <w:p w:rsidR="00456E06" w:rsidRPr="009D65D9" w:rsidRDefault="00456E06" w:rsidP="009D65D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Berat badan ekstrem (obesitas atau kurus).  </w:t>
      </w:r>
    </w:p>
    <w:p w:rsidR="00456E06" w:rsidRPr="009D65D9" w:rsidRDefault="00456E06" w:rsidP="009D65D9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Penggunaan kontrasepsi hormonal atau obat-obatan tertentu.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7830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9D65D9">
        <w:rPr>
          <w:rFonts w:ascii="Malgun Gothic" w:eastAsia="Malgun Gothic" w:hAnsi="Malgun Gothic"/>
          <w:b/>
          <w:bCs/>
        </w:rPr>
        <w:t xml:space="preserve">A. Pengobatan Medis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456E06" w:rsidRPr="009D65D9" w:rsidRDefault="00456E06" w:rsidP="009D65D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Kontrasepsi Hormonal: Untuk mengatur siklus haid.  </w:t>
      </w:r>
    </w:p>
    <w:p w:rsidR="00456E06" w:rsidRPr="009D65D9" w:rsidRDefault="00456E06" w:rsidP="009D65D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Metformin: Digunakan pada pasien PCOS untuk meningkatkan sensitivitas insulin.  </w:t>
      </w:r>
    </w:p>
    <w:p w:rsidR="00456E06" w:rsidRPr="009D65D9" w:rsidRDefault="00456E06" w:rsidP="009D65D9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Obat Tiroid: Untuk mengatasi gangguan tiroid yang memengaruhi siklus haid.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Prosedur Medis:  </w:t>
      </w:r>
    </w:p>
    <w:p w:rsidR="00456E06" w:rsidRPr="009D65D9" w:rsidRDefault="00456E06" w:rsidP="009D65D9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USG Pelvis: Untuk memeriksa kondisi rahim dan ovarium.  </w:t>
      </w:r>
    </w:p>
    <w:p w:rsidR="00456E06" w:rsidRPr="009D65D9" w:rsidRDefault="00456E06" w:rsidP="009D65D9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Operasi: Dalam kasus mioma uteri atau endometriosis yang memengaruhi siklus haid.  </w:t>
      </w: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9D65D9">
        <w:rPr>
          <w:rFonts w:ascii="Malgun Gothic" w:eastAsia="Malgun Gothic" w:hAnsi="Malgun Gothic"/>
          <w:b/>
          <w:bCs/>
        </w:rPr>
        <w:t xml:space="preserve">B. Pengobatan Herbal &amp; Thibb An-Nabawi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456E06" w:rsidRPr="009D65D9" w:rsidRDefault="00456E06" w:rsidP="009D65D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Jahe: Diminum sebagai teh untuk meredakan nyeri haid dan melancarkan aliran darah.  </w:t>
      </w:r>
    </w:p>
    <w:p w:rsidR="00456E06" w:rsidRPr="009D65D9" w:rsidRDefault="00456E06" w:rsidP="009D65D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Kunyit: Dilarutkan dalam air hangat, bersifat anti-inflamasi dan membantu detoksifikasi tubuh.  </w:t>
      </w:r>
    </w:p>
    <w:p w:rsidR="00456E06" w:rsidRPr="009D65D9" w:rsidRDefault="00456E06" w:rsidP="009D65D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Daun Sirih: Direbus dan diminum untuk membantu mengatur siklus haid.  </w:t>
      </w:r>
    </w:p>
    <w:p w:rsidR="00456E06" w:rsidRPr="009D65D9" w:rsidRDefault="00456E06" w:rsidP="009D65D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Kayu Manis: Membantu menyeimbangkan hormon dan melancarkan haid.  </w:t>
      </w:r>
    </w:p>
    <w:p w:rsidR="00456E06" w:rsidRPr="009D65D9" w:rsidRDefault="00456E06" w:rsidP="009D65D9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Madu Murni: Dikonsumsi untuk mendukung kesehatan reproduksi.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Terapi Bekam (Hijamah):  </w:t>
      </w:r>
    </w:p>
    <w:p w:rsidR="00456E06" w:rsidRPr="009D65D9" w:rsidRDefault="00456E06" w:rsidP="009D65D9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Titik Bekam: Area lokal di punggung bawah atau pundak untuk memperbaiki aliran darah dan detoksifikasi.  </w:t>
      </w:r>
    </w:p>
    <w:p w:rsidR="00456E06" w:rsidRPr="009D65D9" w:rsidRDefault="00456E06" w:rsidP="009D65D9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Frekuensi: Setiap 2 minggu sekali sesuai kondisi pasien.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9D65D9">
        <w:rPr>
          <w:rFonts w:ascii="Malgun Gothic" w:eastAsia="Malgun Gothic" w:hAnsi="Malgun Gothic"/>
          <w:b/>
          <w:bCs/>
        </w:rPr>
        <w:t xml:space="preserve">A. Makanan yang Disarankan: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Buah-Buahan Segar: Apel, jeruk, stroberi, dan pisang.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Karbohidrat Kompleks: Oatmeal, nasi merah, roti gandum, dan quinoa.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Protein Tanpa Lemak: Ikan, ayam tanpa kulit, telur rebus, dan tahu.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Lemak Sehat: Alpukat, minyak zaitun, dan biji rami.  </w:t>
      </w:r>
    </w:p>
    <w:p w:rsidR="00456E06" w:rsidRPr="009D65D9" w:rsidRDefault="00456E06" w:rsidP="009D65D9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9D65D9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456E06" w:rsidRPr="009D65D9" w:rsidRDefault="00456E06" w:rsidP="009D65D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Makanan dingin: Es krim, minuman dingin, dan makanan beku.  </w:t>
      </w:r>
    </w:p>
    <w:p w:rsidR="00456E06" w:rsidRPr="009D65D9" w:rsidRDefault="00456E06" w:rsidP="009D65D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Makanan tinggi lemak jenuh: Gorengan, keripik, dan makanan cepat saji.  </w:t>
      </w:r>
    </w:p>
    <w:p w:rsidR="00456E06" w:rsidRPr="009D65D9" w:rsidRDefault="00456E06" w:rsidP="009D65D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9D65D9">
        <w:rPr>
          <w:rFonts w:ascii="Malgun Gothic" w:eastAsia="Malgun Gothic" w:hAnsi="Malgun Gothic"/>
        </w:rPr>
        <w:t>manis</w:t>
      </w:r>
      <w:proofErr w:type="gramEnd"/>
      <w:r w:rsidRPr="009D65D9">
        <w:rPr>
          <w:rFonts w:ascii="Malgun Gothic" w:eastAsia="Malgun Gothic" w:hAnsi="Malgun Gothic"/>
        </w:rPr>
        <w:t xml:space="preserve">.  </w:t>
      </w:r>
    </w:p>
    <w:p w:rsidR="00456E06" w:rsidRPr="009D65D9" w:rsidRDefault="00456E06" w:rsidP="009D65D9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Makanan olahan: Daging olahan, makanan kaleng, dan camilan asin.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456E06" w:rsidRPr="009D65D9" w:rsidRDefault="00456E06" w:rsidP="009D65D9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Lakukan aktivitas fisik ringan seperti yoga atau berjalan kaki untuk meningkatkan aliran darah.  </w:t>
      </w:r>
    </w:p>
    <w:p w:rsidR="00456E06" w:rsidRPr="009D65D9" w:rsidRDefault="00456E06" w:rsidP="009D65D9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Kelola stres dengan meditasi, dzikir, atau teknik relaksasi lainnya.  </w:t>
      </w:r>
    </w:p>
    <w:p w:rsidR="00456E06" w:rsidRPr="009D65D9" w:rsidRDefault="00456E06" w:rsidP="009D65D9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456E06" w:rsidRPr="009D65D9" w:rsidRDefault="00456E06" w:rsidP="009D65D9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Pantau berat badan secara rutin dan pertahankan berat badan ideal.  </w:t>
      </w:r>
    </w:p>
    <w:p w:rsidR="00456E06" w:rsidRPr="009D65D9" w:rsidRDefault="00456E06" w:rsidP="009D65D9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Hindari merokok dan konsumsi alkohol.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456E06" w:rsidRPr="009D65D9" w:rsidRDefault="00456E06" w:rsidP="009D65D9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Vitamin D: Mendukung kesehatan reproduksi dan keseimbangan hormon.  </w:t>
      </w:r>
    </w:p>
    <w:p w:rsidR="00456E06" w:rsidRPr="009D65D9" w:rsidRDefault="00456E06" w:rsidP="009D65D9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Asam Folat: Penting untuk kesehatan reproduksi dan persiapan kehamilan.  </w:t>
      </w:r>
    </w:p>
    <w:p w:rsidR="00456E06" w:rsidRPr="009D65D9" w:rsidRDefault="00456E06" w:rsidP="009D65D9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Magnesium: Mengurangi gejala PMS dan nyeri haid.  </w:t>
      </w:r>
    </w:p>
    <w:p w:rsidR="00456E06" w:rsidRPr="009D65D9" w:rsidRDefault="00456E06" w:rsidP="009D65D9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Omega-3: Mengurangi peradangan dan mendukung kesehatan hormonal.  </w:t>
      </w:r>
    </w:p>
    <w:p w:rsidR="00456E0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9D65D9" w:rsidRPr="00B118E6" w:rsidRDefault="009D65D9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9D65D9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D65D9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456E06" w:rsidRPr="009D65D9" w:rsidRDefault="00456E06" w:rsidP="009D65D9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Normalisasi siklus haid (21-35 hari).  </w:t>
      </w:r>
    </w:p>
    <w:p w:rsidR="00456E06" w:rsidRPr="009D65D9" w:rsidRDefault="00456E06" w:rsidP="009D65D9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Volume darah haid stabil dan tidak berlebihan.  </w:t>
      </w:r>
    </w:p>
    <w:p w:rsidR="00456E06" w:rsidRPr="009D65D9" w:rsidRDefault="00456E06" w:rsidP="009D65D9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Berkurangnya nyeri haid dan gejala PMS.  </w:t>
      </w:r>
    </w:p>
    <w:p w:rsidR="00456E06" w:rsidRPr="009D65D9" w:rsidRDefault="00456E06" w:rsidP="009D65D9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Peningkatan energi dan kualitas hidup secara keseluruhan.  </w:t>
      </w:r>
    </w:p>
    <w:p w:rsidR="00456E06" w:rsidRPr="009D65D9" w:rsidRDefault="00456E06" w:rsidP="009D65D9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D65D9">
        <w:rPr>
          <w:rFonts w:ascii="Malgun Gothic" w:eastAsia="Malgun Gothic" w:hAnsi="Malgun Gothic"/>
        </w:rPr>
        <w:t xml:space="preserve">Hasil pemeriksaan medis yang menunjukkan fungsi reproduksi normal.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Haid Tidak Lancar (Menstruasi Tidak Teratur)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mengatur siklus menstruasi, meredakan gejala seperti nyeri haid, kram perut, dan mood swing, serta mendukung keseimbangan hormon estrogen dan progesteron.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regulasi hormon, pengurangan inflamasi, dan detoksifikasi tubuh.</w:t>
      </w:r>
      <w:proofErr w:type="gramEnd"/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Mengatur Siklus Menstruasi Secara Alami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Gejala Haid Tidak Lancar (Nyeri Haid, Kram Perut, Mood Swing)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Detoksifikasi &amp; Keseimbangan Hormon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Endokrinologi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t>Target Terapi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Reseptor &amp; Jalur Target: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Sirkadian Focus: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Komposisi per Kapsul (600 mg):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Mekanisme Aksi Sinergis: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Aturan Konsumsi (Berbasis Ritme Sirkadian):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Catatan Penggunaan: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Estrogen &amp; Progesterone Receptor Pathway: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Mengatur keseimbangan hormon estrogen dan progesteron yang memengaruhi siklus menstruasi.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nyeri haid dan kram perut.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jaringan reproduksi dari kerusakan akibat stres oksidatif.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Detoksifikasi Enzyme System (CYP450):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racun dalam tubuh yang dapat memengaruhi keseimbangan hormon.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Anti-inflammatory Pathway (COX-2):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produksi prostaglandin yang menyebabkan nyeri haid.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hormon estrogen cenderung meningkat pada fase folikuler siklus menstruasi (hari ke-1 hingga hari ke-14).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alami tubuh lebih optimal pada malam hari saat tubuh beristirahat.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Vitex agnus-castus (buah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Agnuside, flavonoid       | Menyeimbangkan hormon estrogen            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Angelica sinensis (akar)   | 120 mg    | Ligustilide, ferulic acid | Mengatur siklus menstruasi, meredakan </w:t>
      </w:r>
      <w:proofErr w:type="gramStart"/>
      <w:r w:rsidRPr="00B118E6">
        <w:rPr>
          <w:rFonts w:ascii="Malgun Gothic" w:eastAsia="Malgun Gothic" w:hAnsi="Malgun Gothic"/>
        </w:rPr>
        <w:t>nyeri  |</w:t>
      </w:r>
      <w:proofErr w:type="gramEnd"/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Taraxacum officinale (daun)| 120 mg    | Taraxasterol             | Detoksifikasi hati, mendukung metabolisme hormon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Total Netto: 600 mg/kapsul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Vitex agnus-castus: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agnuside bekerja sinergis untuk menyeimbangkan hormon estrogen dan progesteron serta melindungi jaringan reproduksi dari kerusakan oksidatif.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Curcuma longa + Angelica sinensis: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Kurkumin dan ligustilide mengurangi inflamasi di area rahim serta meredakan nyeri haid dan kram perut.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Taraxacum officinale + Nigella sativa: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Taraxasterol dan thymoquinone mendukung detoksifikasi tubuh serta melindungi sel dari kerusakan akibat racun atau radikal bebas.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Estrogen &amp; Progesterone Receptor Pathway: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Mengatur keseimbangan hormon yang memengaruhi siklus menstruasi.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Nrf2 Pathway: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jaringan reproduksi dari kerusakan akibat stres oksidatif.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Pagi (07.00–08.00) | 1 kapsul sebelum sarapan | Menyiapkan sistem endokrin untuk aktivitas harian dan mendukung detoksifikasi </w:t>
      </w:r>
      <w:proofErr w:type="gramStart"/>
      <w:r w:rsidRPr="00B118E6">
        <w:rPr>
          <w:rFonts w:ascii="Malgun Gothic" w:eastAsia="Malgun Gothic" w:hAnsi="Malgun Gothic"/>
        </w:rPr>
        <w:t>pagi  |</w:t>
      </w:r>
      <w:proofErr w:type="gramEnd"/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hormon setelah makan                                       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pemulihan jaringan selama istirahat malam |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Catatan Penggunaan: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haid tidak lancar ringan hingga sedang atau sebagai pencegahan bagi individu dengan risiko tinggi.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hormonal seperti pil KB tanpa konsultasi dokter.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lemak, tinggi serat, minum air putih cukup (minimal 2 liter/hari), </w:t>
      </w:r>
      <w:proofErr w:type="gramStart"/>
      <w:r w:rsidRPr="00B118E6">
        <w:rPr>
          <w:rFonts w:ascii="Malgun Gothic" w:eastAsia="Malgun Gothic" w:hAnsi="Malgun Gothic"/>
        </w:rPr>
        <w:t>dan</w:t>
      </w:r>
      <w:proofErr w:type="gramEnd"/>
      <w:r w:rsidRPr="00B118E6">
        <w:rPr>
          <w:rFonts w:ascii="Malgun Gothic" w:eastAsia="Malgun Gothic" w:hAnsi="Malgun Gothic"/>
        </w:rPr>
        <w:t xml:space="preserve"> menjaga berat badan ideal.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haid parah, perdarahan abnormal, atau gangguan siklus tidak membaik, segera konsultasikan ke dokter spesialis kandungan.  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haid tidak lancar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(Estrogen &amp; Progesterone Receptor, NF-κB, Nrf2) dan ritme sirkadian membuat formula ini efektif dalam mengatur siklus menstruasi, meredakan gejala haid tidak lancar, serta mendukung detoksifikasi tubuh.</w:t>
      </w:r>
      <w:proofErr w:type="gramEnd"/>
    </w:p>
    <w:p w:rsidR="00456E06" w:rsidRPr="00B118E6" w:rsidRDefault="00456E06" w:rsidP="00456E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br w:type="page"/>
      </w:r>
    </w:p>
    <w:p w:rsidR="00B422D9" w:rsidRDefault="00B422D9"/>
    <w:sectPr w:rsidR="00B422D9" w:rsidSect="00456E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B30"/>
    <w:multiLevelType w:val="hybridMultilevel"/>
    <w:tmpl w:val="783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230E"/>
    <w:multiLevelType w:val="hybridMultilevel"/>
    <w:tmpl w:val="258E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B1438"/>
    <w:multiLevelType w:val="hybridMultilevel"/>
    <w:tmpl w:val="B92C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A4ADB"/>
    <w:multiLevelType w:val="hybridMultilevel"/>
    <w:tmpl w:val="0B58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92F07"/>
    <w:multiLevelType w:val="hybridMultilevel"/>
    <w:tmpl w:val="B598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F4AB4"/>
    <w:multiLevelType w:val="hybridMultilevel"/>
    <w:tmpl w:val="329C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5191"/>
    <w:multiLevelType w:val="hybridMultilevel"/>
    <w:tmpl w:val="9D044D6E"/>
    <w:lvl w:ilvl="0" w:tplc="A80EA16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A45EA"/>
    <w:multiLevelType w:val="hybridMultilevel"/>
    <w:tmpl w:val="C520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B32E0"/>
    <w:multiLevelType w:val="hybridMultilevel"/>
    <w:tmpl w:val="220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2301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64387"/>
    <w:multiLevelType w:val="hybridMultilevel"/>
    <w:tmpl w:val="C4B8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7CA8"/>
    <w:multiLevelType w:val="hybridMultilevel"/>
    <w:tmpl w:val="1852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05570"/>
    <w:multiLevelType w:val="hybridMultilevel"/>
    <w:tmpl w:val="CA4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C4AE5"/>
    <w:multiLevelType w:val="hybridMultilevel"/>
    <w:tmpl w:val="E31AE162"/>
    <w:lvl w:ilvl="0" w:tplc="0134624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50727"/>
    <w:multiLevelType w:val="hybridMultilevel"/>
    <w:tmpl w:val="12CC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8E0C2B"/>
    <w:multiLevelType w:val="hybridMultilevel"/>
    <w:tmpl w:val="1FCA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3029B"/>
    <w:multiLevelType w:val="hybridMultilevel"/>
    <w:tmpl w:val="284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879E5"/>
    <w:multiLevelType w:val="hybridMultilevel"/>
    <w:tmpl w:val="41D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40E00"/>
    <w:multiLevelType w:val="hybridMultilevel"/>
    <w:tmpl w:val="7F0E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61685B"/>
    <w:multiLevelType w:val="hybridMultilevel"/>
    <w:tmpl w:val="8228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34B82"/>
    <w:multiLevelType w:val="hybridMultilevel"/>
    <w:tmpl w:val="DD0A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A4080"/>
    <w:multiLevelType w:val="hybridMultilevel"/>
    <w:tmpl w:val="7FD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3439B"/>
    <w:multiLevelType w:val="hybridMultilevel"/>
    <w:tmpl w:val="8A3C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B85871"/>
    <w:multiLevelType w:val="hybridMultilevel"/>
    <w:tmpl w:val="4A06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10B7E"/>
    <w:multiLevelType w:val="hybridMultilevel"/>
    <w:tmpl w:val="8F5EAE88"/>
    <w:lvl w:ilvl="0" w:tplc="68305EC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A1721"/>
    <w:multiLevelType w:val="hybridMultilevel"/>
    <w:tmpl w:val="0166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631014"/>
    <w:multiLevelType w:val="hybridMultilevel"/>
    <w:tmpl w:val="044E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033E6"/>
    <w:multiLevelType w:val="hybridMultilevel"/>
    <w:tmpl w:val="95FC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6669E"/>
    <w:multiLevelType w:val="hybridMultilevel"/>
    <w:tmpl w:val="174C158C"/>
    <w:lvl w:ilvl="0" w:tplc="A80EA16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23"/>
  </w:num>
  <w:num w:numId="5">
    <w:abstractNumId w:val="8"/>
  </w:num>
  <w:num w:numId="6">
    <w:abstractNumId w:val="6"/>
  </w:num>
  <w:num w:numId="7">
    <w:abstractNumId w:val="27"/>
  </w:num>
  <w:num w:numId="8">
    <w:abstractNumId w:val="15"/>
  </w:num>
  <w:num w:numId="9">
    <w:abstractNumId w:val="21"/>
  </w:num>
  <w:num w:numId="10">
    <w:abstractNumId w:val="24"/>
  </w:num>
  <w:num w:numId="11">
    <w:abstractNumId w:val="7"/>
  </w:num>
  <w:num w:numId="12">
    <w:abstractNumId w:val="11"/>
  </w:num>
  <w:num w:numId="13">
    <w:abstractNumId w:val="18"/>
  </w:num>
  <w:num w:numId="14">
    <w:abstractNumId w:val="22"/>
  </w:num>
  <w:num w:numId="15">
    <w:abstractNumId w:val="1"/>
  </w:num>
  <w:num w:numId="16">
    <w:abstractNumId w:val="9"/>
  </w:num>
  <w:num w:numId="17">
    <w:abstractNumId w:val="5"/>
  </w:num>
  <w:num w:numId="18">
    <w:abstractNumId w:val="14"/>
  </w:num>
  <w:num w:numId="19">
    <w:abstractNumId w:val="17"/>
  </w:num>
  <w:num w:numId="20">
    <w:abstractNumId w:val="10"/>
  </w:num>
  <w:num w:numId="21">
    <w:abstractNumId w:val="26"/>
  </w:num>
  <w:num w:numId="22">
    <w:abstractNumId w:val="3"/>
  </w:num>
  <w:num w:numId="23">
    <w:abstractNumId w:val="20"/>
  </w:num>
  <w:num w:numId="24">
    <w:abstractNumId w:val="19"/>
  </w:num>
  <w:num w:numId="25">
    <w:abstractNumId w:val="13"/>
  </w:num>
  <w:num w:numId="26">
    <w:abstractNumId w:val="2"/>
  </w:num>
  <w:num w:numId="27">
    <w:abstractNumId w:val="0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456E06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56E06"/>
    <w:rsid w:val="0045705D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4F72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3022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D65D9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1597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2025-05-19T07:56:00Z</dcterms:created>
  <dcterms:modified xsi:type="dcterms:W3CDTF">2025-05-21T23:23:00Z</dcterms:modified>
</cp:coreProperties>
</file>