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AC" w:rsidRPr="00BC53AC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BC53AC">
        <w:rPr>
          <w:rFonts w:ascii="Malgun Gothic" w:eastAsia="Malgun Gothic" w:hAnsi="Malgun Gothic"/>
          <w:b/>
          <w:bCs/>
          <w:caps/>
          <w:sz w:val="28"/>
          <w:szCs w:val="28"/>
        </w:rPr>
        <w:t>Hiperglikemia Tipe 2 (Diabetes)</w:t>
      </w:r>
    </w:p>
    <w:p w:rsidR="00BC53AC" w:rsidRPr="00B118E6" w:rsidRDefault="00BC53AC" w:rsidP="00BC53AC">
      <w:pPr>
        <w:spacing w:after="0" w:line="240" w:lineRule="auto"/>
        <w:jc w:val="both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Hiperglikemia (Diabetes melitus) tipe 2 adalah sebuah kea daan kondisi kronis dimana tubuh mengalami resistensi ter hadap insulin (Tidak mampu memproduksi insulin) dalam jumlah yang cukup yang menyebabkan peningkatan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 (glukosa) secara abnormal. Diabetes tipe 2 umu m nya terjadi pada orang dewasa, tetapi semakin banyak ditemukan pada anak-anak &amp; remaja akibat </w:t>
      </w:r>
      <w:proofErr w:type="gramStart"/>
      <w:r w:rsidRPr="00B118E6">
        <w:rPr>
          <w:rFonts w:ascii="Malgun Gothic" w:eastAsia="Malgun Gothic" w:hAnsi="Malgun Gothic"/>
        </w:rPr>
        <w:t>gaya</w:t>
      </w:r>
      <w:proofErr w:type="gramEnd"/>
      <w:r w:rsidRPr="00B118E6">
        <w:rPr>
          <w:rFonts w:ascii="Malgun Gothic" w:eastAsia="Malgun Gothic" w:hAnsi="Malgun Gothic"/>
        </w:rPr>
        <w:t xml:space="preserve"> hidup tidak sehat. Meskipun tidak dapat disembuhkan sepenuh nya, diabetes tipe 2 dapat dikelola dengan perubahan </w:t>
      </w:r>
      <w:proofErr w:type="gramStart"/>
      <w:r w:rsidRPr="00B118E6">
        <w:rPr>
          <w:rFonts w:ascii="Malgun Gothic" w:eastAsia="Malgun Gothic" w:hAnsi="Malgun Gothic"/>
        </w:rPr>
        <w:t>gaya</w:t>
      </w:r>
      <w:proofErr w:type="gramEnd"/>
      <w:r w:rsidRPr="00B118E6">
        <w:rPr>
          <w:rFonts w:ascii="Malgun Gothic" w:eastAsia="Malgun Gothic" w:hAnsi="Malgun Gothic"/>
        </w:rPr>
        <w:t xml:space="preserve"> hidup, peng obatan medis, herbal, &amp; pendekatan holistik lainnya.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PENYEBAB PENYAKIT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A. Faktor Medis Modern:  </w:t>
      </w:r>
    </w:p>
    <w:p w:rsidR="00BC53AC" w:rsidRPr="00B118E6" w:rsidRDefault="00BC53AC" w:rsidP="00BC53AC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Resistensi Insulin:</w:t>
      </w:r>
      <w:r w:rsidRPr="00B118E6">
        <w:rPr>
          <w:rFonts w:ascii="Malgun Gothic" w:eastAsia="Malgun Gothic" w:hAnsi="Malgun Gothic"/>
        </w:rPr>
        <w:t xml:space="preserve"> Tubuh menjadi kurang sensitif terhadap insulin, sehingga glukosa tidak dapat masuk ke dalam sel.</w:t>
      </w:r>
      <w:r w:rsidRPr="00B118E6">
        <w:rPr>
          <w:rFonts w:ascii="Malgun Gothic" w:eastAsia="Malgun Gothic" w:hAnsi="Malgun Gothic"/>
          <w:b/>
          <w:bCs/>
        </w:rPr>
        <w:t xml:space="preserve">  </w:t>
      </w:r>
    </w:p>
    <w:p w:rsidR="00BC53AC" w:rsidRPr="00B118E6" w:rsidRDefault="00BC53AC" w:rsidP="00BC53AC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Gangguan Produksi Insulin:</w:t>
      </w:r>
      <w:r w:rsidRPr="00B118E6">
        <w:rPr>
          <w:rFonts w:ascii="Malgun Gothic" w:eastAsia="Malgun Gothic" w:hAnsi="Malgun Gothic"/>
        </w:rPr>
        <w:t xml:space="preserve"> Pankreas tidak mampu memproduksi insulin dalam jumlah yang cukup.  </w:t>
      </w:r>
    </w:p>
    <w:p w:rsidR="00BC53AC" w:rsidRPr="00B118E6" w:rsidRDefault="00BC53AC" w:rsidP="00BC53AC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Faktor Genetik: Riwayat keluarga dengan diabetes meningkatkan risiko.  </w:t>
      </w:r>
    </w:p>
    <w:p w:rsidR="00BC53AC" w:rsidRPr="00B118E6" w:rsidRDefault="00BC53AC" w:rsidP="00BC53AC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Obesitas: Lemak berlebih, terutama di area perut, meningkatkan resistensi insulin.  </w:t>
      </w:r>
    </w:p>
    <w:p w:rsidR="00BC53AC" w:rsidRPr="00B118E6" w:rsidRDefault="00BC53AC" w:rsidP="00BC53AC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Gaya Hidup Tidak Sehat: Kurang aktivitas fisik, pola makan tinggi gula dan lemak, serta stres kronis.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BC53AC" w:rsidRPr="00B118E6" w:rsidRDefault="00BC53AC" w:rsidP="00BC53AC">
      <w:pPr>
        <w:pStyle w:val="ListParagraph"/>
        <w:numPr>
          <w:ilvl w:val="1"/>
          <w:numId w:val="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Ketidakseimbangan Energi Tubuh:</w:t>
      </w:r>
      <w:r w:rsidRPr="00B118E6">
        <w:rPr>
          <w:rFonts w:ascii="Malgun Gothic" w:eastAsia="Malgun Gothic" w:hAnsi="Malgun Gothic"/>
        </w:rPr>
        <w:t xml:space="preserve"> Akibat konsumsi makanan yang tidak sesuai dengan kebutuhan tubuh.  </w:t>
      </w:r>
    </w:p>
    <w:p w:rsidR="00BC53AC" w:rsidRPr="00B118E6" w:rsidRDefault="00BC53AC" w:rsidP="00BC53AC">
      <w:pPr>
        <w:pStyle w:val="ListParagraph"/>
        <w:numPr>
          <w:ilvl w:val="1"/>
          <w:numId w:val="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Kelemahan Organ Internal:</w:t>
      </w:r>
      <w:r w:rsidRPr="00B118E6">
        <w:rPr>
          <w:rFonts w:ascii="Malgun Gothic" w:eastAsia="Malgun Gothic" w:hAnsi="Malgun Gothic"/>
        </w:rPr>
        <w:t xml:space="preserve"> Terutama pankreas, hati, &amp; ginjal yang berperan dalam metabolisme gula.  </w:t>
      </w:r>
    </w:p>
    <w:p w:rsidR="00BC53AC" w:rsidRPr="00B118E6" w:rsidRDefault="00BC53AC" w:rsidP="00BC53AC">
      <w:pPr>
        <w:pStyle w:val="ListParagraph"/>
        <w:numPr>
          <w:ilvl w:val="1"/>
          <w:numId w:val="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Makanan Beracun (Haram):</w:t>
      </w:r>
      <w:r w:rsidRPr="00B118E6">
        <w:rPr>
          <w:rFonts w:ascii="Malgun Gothic" w:eastAsia="Malgun Gothic" w:hAnsi="Malgun Gothic"/>
        </w:rPr>
        <w:t xml:space="preserve"> Konsumsi makanan olahan, alkohol, &amp; zat aditif dapat merusak keseim- bangan tubuh.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 &amp; GEJALA  </w:t>
      </w:r>
    </w:p>
    <w:p w:rsidR="00BC53AC" w:rsidRPr="00B118E6" w:rsidRDefault="00BC53AC" w:rsidP="00BC53AC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Sering buang air kecil, terutama di malam hari (poliuria).  </w:t>
      </w:r>
    </w:p>
    <w:p w:rsidR="00BC53AC" w:rsidRPr="00B118E6" w:rsidRDefault="00BC53AC" w:rsidP="00BC53AC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Rasa haus yang berlebihan (polidipsia).  </w:t>
      </w:r>
    </w:p>
    <w:p w:rsidR="00BC53AC" w:rsidRPr="00B118E6" w:rsidRDefault="00BC53AC" w:rsidP="00BC53AC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Rasa lapar yang berlebihan meskipun sudah makan (polifagia).  </w:t>
      </w:r>
    </w:p>
    <w:p w:rsidR="00BC53AC" w:rsidRPr="00B118E6" w:rsidRDefault="00BC53AC" w:rsidP="00BC53AC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Kelelahan, lesu, atau mudah lelah.  </w:t>
      </w:r>
    </w:p>
    <w:p w:rsidR="00BC53AC" w:rsidRPr="00B118E6" w:rsidRDefault="00BC53AC" w:rsidP="00BC53AC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Penglihatan kabur.  </w:t>
      </w:r>
    </w:p>
    <w:p w:rsidR="00BC53AC" w:rsidRPr="00B118E6" w:rsidRDefault="00BC53AC" w:rsidP="00BC53AC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Luka yang lambat sembuh.  </w:t>
      </w:r>
    </w:p>
    <w:p w:rsidR="00BC53AC" w:rsidRPr="00B118E6" w:rsidRDefault="00BC53AC" w:rsidP="00BC53AC">
      <w:pPr>
        <w:pStyle w:val="ListParagraph"/>
        <w:numPr>
          <w:ilvl w:val="1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Kesemutan atau mati rasa di tangan dan kaki (neuropati).  </w:t>
      </w:r>
    </w:p>
    <w:p w:rsidR="00BC53AC" w:rsidRPr="00B118E6" w:rsidRDefault="00BC53AC" w:rsidP="00BC53AC">
      <w:pPr>
        <w:pStyle w:val="ListParagraph"/>
        <w:spacing w:after="0" w:line="240" w:lineRule="auto"/>
        <w:ind w:left="426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lastRenderedPageBreak/>
        <w:t xml:space="preserve">MEKANISME PENYAKIT  </w:t>
      </w:r>
    </w:p>
    <w:p w:rsidR="00BC53AC" w:rsidRPr="00B118E6" w:rsidRDefault="00BC53AC" w:rsidP="00BC53AC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Resistensi Insulin:</w:t>
      </w:r>
      <w:r w:rsidRPr="00B118E6">
        <w:rPr>
          <w:rFonts w:ascii="Malgun Gothic" w:eastAsia="Malgun Gothic" w:hAnsi="Malgun Gothic"/>
        </w:rPr>
        <w:t xml:space="preserve"> Sel tubuh tidak merespons insulin dengan baik, menyebabkan glukosa menumpuk di aliran darah.  </w:t>
      </w:r>
    </w:p>
    <w:p w:rsidR="00BC53AC" w:rsidRPr="00B118E6" w:rsidRDefault="00BC53AC" w:rsidP="00BC53AC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Produksi Glukosa Berlebih:</w:t>
      </w:r>
      <w:r w:rsidRPr="00B118E6">
        <w:rPr>
          <w:rFonts w:ascii="Malgun Gothic" w:eastAsia="Malgun Gothic" w:hAnsi="Malgun Gothic"/>
        </w:rPr>
        <w:t xml:space="preserve"> Hati melepaskan glukosa lebih dari yang dibutuhkan tubuh</w:t>
      </w:r>
      <w:r w:rsidRPr="00B118E6">
        <w:rPr>
          <w:rFonts w:ascii="Malgun Gothic" w:eastAsia="Malgun Gothic" w:hAnsi="Malgun Gothic"/>
          <w:b/>
          <w:bCs/>
        </w:rPr>
        <w:t xml:space="preserve">.  </w:t>
      </w:r>
    </w:p>
    <w:p w:rsidR="00BC53AC" w:rsidRPr="00B118E6" w:rsidRDefault="00BC53AC" w:rsidP="00BC53AC">
      <w:pPr>
        <w:pStyle w:val="ListParagraph"/>
        <w:numPr>
          <w:ilvl w:val="1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Komplikasi:</w:t>
      </w:r>
      <w:r w:rsidRPr="00B118E6">
        <w:rPr>
          <w:rFonts w:ascii="Malgun Gothic" w:eastAsia="Malgun Gothic" w:hAnsi="Malgun Gothic"/>
        </w:rPr>
        <w:t xml:space="preserve"> Jika tidak dikendalikan, dapat menyebab </w:t>
      </w:r>
      <w:proofErr w:type="gramStart"/>
      <w:r w:rsidRPr="00B118E6">
        <w:rPr>
          <w:rFonts w:ascii="Malgun Gothic" w:eastAsia="Malgun Gothic" w:hAnsi="Malgun Gothic"/>
        </w:rPr>
        <w:t>kan</w:t>
      </w:r>
      <w:proofErr w:type="gramEnd"/>
      <w:r w:rsidRPr="00B118E6">
        <w:rPr>
          <w:rFonts w:ascii="Malgun Gothic" w:eastAsia="Malgun Gothic" w:hAnsi="Malgun Gothic"/>
        </w:rPr>
        <w:t xml:space="preserve"> komplikasi serius seperti penyakit jantung, stroke, gagal ginjal, neuropati, dan retinopati.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FAKTOR RISIKO  </w:t>
      </w:r>
    </w:p>
    <w:p w:rsidR="00BC53AC" w:rsidRPr="00B118E6" w:rsidRDefault="00BC53AC" w:rsidP="00BC53AC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Riwayat keluarga dengan diabetes tipe 2.  </w:t>
      </w:r>
    </w:p>
    <w:p w:rsidR="00BC53AC" w:rsidRPr="00B118E6" w:rsidRDefault="00BC53AC" w:rsidP="00BC53AC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Obesitas atau berat badan berlebih.  </w:t>
      </w:r>
    </w:p>
    <w:p w:rsidR="00BC53AC" w:rsidRPr="00B118E6" w:rsidRDefault="00BC53AC" w:rsidP="00BC53AC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Gaya hidup sedentari (kurang aktivitas fisik).  </w:t>
      </w:r>
    </w:p>
    <w:p w:rsidR="00BC53AC" w:rsidRPr="00B118E6" w:rsidRDefault="00BC53AC" w:rsidP="00BC53AC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Pola makan tinggi gula, lemak, dan kalori.  </w:t>
      </w:r>
    </w:p>
    <w:p w:rsidR="00BC53AC" w:rsidRPr="00B118E6" w:rsidRDefault="00BC53AC" w:rsidP="00BC53AC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Usia</w:t>
      </w:r>
      <w:proofErr w:type="gramEnd"/>
      <w:r w:rsidRPr="00B118E6">
        <w:rPr>
          <w:rFonts w:ascii="Malgun Gothic" w:eastAsia="Malgun Gothic" w:hAnsi="Malgun Gothic"/>
        </w:rPr>
        <w:t xml:space="preserve"> lanjut (di atas 45 tahun).  </w:t>
      </w:r>
    </w:p>
    <w:p w:rsidR="00BC53AC" w:rsidRPr="00B118E6" w:rsidRDefault="00BC53AC" w:rsidP="00BC53AC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Tekanan darah tinggi atau kolesterol tinggi.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SARAN PENGOBATAN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A. Pengobatan Medis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 Oral:  </w:t>
      </w:r>
    </w:p>
    <w:p w:rsidR="00BC53AC" w:rsidRPr="00B118E6" w:rsidRDefault="00BC53AC" w:rsidP="00BC53AC">
      <w:pPr>
        <w:pStyle w:val="ListParagraph"/>
        <w:numPr>
          <w:ilvl w:val="1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Metformin:</w:t>
      </w:r>
      <w:r w:rsidRPr="00B118E6">
        <w:rPr>
          <w:rFonts w:ascii="Malgun Gothic" w:eastAsia="Malgun Gothic" w:hAnsi="Malgun Gothic"/>
        </w:rPr>
        <w:t xml:space="preserve"> Mengurangi produksi glukosa oleh hati dan meningkatkan sensitivitas insulin.  </w:t>
      </w:r>
    </w:p>
    <w:p w:rsidR="00BC53AC" w:rsidRPr="00B118E6" w:rsidRDefault="00BC53AC" w:rsidP="00BC53AC">
      <w:pPr>
        <w:pStyle w:val="ListParagraph"/>
        <w:numPr>
          <w:ilvl w:val="1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Sulfonilurea:</w:t>
      </w:r>
      <w:r w:rsidRPr="00B118E6">
        <w:rPr>
          <w:rFonts w:ascii="Malgun Gothic" w:eastAsia="Malgun Gothic" w:hAnsi="Malgun Gothic"/>
        </w:rPr>
        <w:t xml:space="preserve"> Merangsang pankreas untuk mem produksi lebih banyak insulin.</w:t>
      </w:r>
    </w:p>
    <w:p w:rsidR="00BC53AC" w:rsidRPr="00B118E6" w:rsidRDefault="00BC53AC" w:rsidP="00BC53AC">
      <w:pPr>
        <w:pStyle w:val="ListParagraph"/>
        <w:numPr>
          <w:ilvl w:val="1"/>
          <w:numId w:val="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Inhibitor DPP-4:</w:t>
      </w:r>
      <w:r w:rsidRPr="00B118E6">
        <w:rPr>
          <w:rFonts w:ascii="Malgun Gothic" w:eastAsia="Malgun Gothic" w:hAnsi="Malgun Gothic"/>
        </w:rPr>
        <w:t xml:space="preserve"> Membantu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 setelah makan.</w:t>
      </w:r>
    </w:p>
    <w:p w:rsidR="00BC53AC" w:rsidRPr="00B118E6" w:rsidRDefault="00BC53AC" w:rsidP="00BC53A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Insulin:</w:t>
      </w:r>
      <w:r w:rsidRPr="00B118E6">
        <w:rPr>
          <w:rFonts w:ascii="Malgun Gothic" w:eastAsia="Malgun Gothic" w:hAnsi="Malgun Gothic"/>
        </w:rPr>
        <w:t xml:space="preserve"> Digunakan jika obat oral tidak efektif atau pada kasus yang lebih parah.</w:t>
      </w:r>
    </w:p>
    <w:p w:rsidR="00BC53AC" w:rsidRPr="00B118E6" w:rsidRDefault="00BC53AC" w:rsidP="00BC53A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  <w:b/>
          <w:bCs/>
        </w:rPr>
        <w:t>Pemantauan Gula Darah:</w:t>
      </w:r>
      <w:r w:rsidRPr="00B118E6">
        <w:rPr>
          <w:rFonts w:ascii="Malgun Gothic" w:eastAsia="Malgun Gothic" w:hAnsi="Malgun Gothic"/>
        </w:rPr>
        <w:t xml:space="preserve"> Menggunakan glucometer untuk memantau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 secara rutin.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BC53AC" w:rsidRPr="00B118E6" w:rsidRDefault="00BC53AC" w:rsidP="00BC53AC">
      <w:pPr>
        <w:pStyle w:val="ListParagraph"/>
        <w:numPr>
          <w:ilvl w:val="1"/>
          <w:numId w:val="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Daun Salam: Direbus dan diminum untuk membantu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darah.  </w:t>
      </w:r>
    </w:p>
    <w:p w:rsidR="00BC53AC" w:rsidRPr="00B118E6" w:rsidRDefault="00BC53AC" w:rsidP="00BC53AC">
      <w:pPr>
        <w:pStyle w:val="ListParagraph"/>
        <w:numPr>
          <w:ilvl w:val="1"/>
          <w:numId w:val="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Kunyit: Mengandung curcumin yang bersifat anti-inflamasi dan membantu mengontrol gula darah.  </w:t>
      </w:r>
    </w:p>
    <w:p w:rsidR="00BC53AC" w:rsidRPr="00B118E6" w:rsidRDefault="00BC53AC" w:rsidP="00BC53AC">
      <w:pPr>
        <w:pStyle w:val="ListParagraph"/>
        <w:numPr>
          <w:ilvl w:val="1"/>
          <w:numId w:val="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Kayu Manis: Menambah sensitivitas insulin dan menstabilkan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darah.  </w:t>
      </w:r>
    </w:p>
    <w:p w:rsidR="00BC53AC" w:rsidRPr="00B118E6" w:rsidRDefault="00BC53AC" w:rsidP="00BC53AC">
      <w:pPr>
        <w:pStyle w:val="ListParagraph"/>
        <w:numPr>
          <w:ilvl w:val="1"/>
          <w:numId w:val="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Mengkudu: Dikonsumsi sebagai jus untuk membantu regenerasi sel beta pankreas.  </w:t>
      </w:r>
    </w:p>
    <w:p w:rsidR="00BC53AC" w:rsidRPr="00B118E6" w:rsidRDefault="00BC53AC" w:rsidP="00BC53AC">
      <w:pPr>
        <w:pStyle w:val="ListParagraph"/>
        <w:numPr>
          <w:ilvl w:val="1"/>
          <w:numId w:val="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Brotowali: Mengandung senyawa yang membantu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darah.</w:t>
      </w:r>
    </w:p>
    <w:p w:rsidR="00BC53AC" w:rsidRPr="00B118E6" w:rsidRDefault="00BC53AC" w:rsidP="00BC53AC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Madu Murni: Dikonsumsi secukupnya sebagai pengganti gula untuk menjaga keseimbangan energi.</w:t>
      </w:r>
    </w:p>
    <w:p w:rsidR="001A05B4" w:rsidRPr="00B118E6" w:rsidRDefault="001A05B4" w:rsidP="001A05B4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Terapi Bekam (Hijamah):  </w:t>
      </w:r>
    </w:p>
    <w:p w:rsidR="001A05B4" w:rsidRPr="00B118E6" w:rsidRDefault="001A05B4" w:rsidP="001A05B4">
      <w:pPr>
        <w:pStyle w:val="ListParagraph"/>
        <w:numPr>
          <w:ilvl w:val="1"/>
          <w:numId w:val="7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Titik Bekam: Area lokal di punggung untuk detok sifikasi &amp; memperbaiki aliran darah.  </w:t>
      </w:r>
    </w:p>
    <w:p w:rsidR="001A05B4" w:rsidRPr="00B118E6" w:rsidRDefault="001A05B4" w:rsidP="001A05B4">
      <w:pPr>
        <w:pStyle w:val="ListParagraph"/>
        <w:numPr>
          <w:ilvl w:val="1"/>
          <w:numId w:val="7"/>
        </w:numPr>
        <w:spacing w:after="0" w:line="240" w:lineRule="auto"/>
        <w:ind w:left="851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Frekuensi: Setiap 1-2 minggu sesuai kondisi pasien.  </w:t>
      </w:r>
    </w:p>
    <w:p w:rsidR="00BC53AC" w:rsidRPr="00B118E6" w:rsidRDefault="00BC53AC" w:rsidP="00BC53AC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Konsumsi Talbinah (Bubur Gandum): Membantu menenangkan saraf dan menjaga kesehatan pencernaan.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REKOMENDASI DIET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A. Makanan yang Disarankan:  </w:t>
      </w:r>
    </w:p>
    <w:p w:rsidR="00BC53AC" w:rsidRPr="00B118E6" w:rsidRDefault="00BC53AC" w:rsidP="00BC53AC">
      <w:pPr>
        <w:pStyle w:val="ListParagraph"/>
        <w:numPr>
          <w:ilvl w:val="1"/>
          <w:numId w:val="1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Indeks Glikemik Rendah: Gandum utuh, beras merah, kacang-kacangan, dan sayuran hijau.  </w:t>
      </w:r>
    </w:p>
    <w:p w:rsidR="00BC53AC" w:rsidRPr="00B118E6" w:rsidRDefault="00BC53AC" w:rsidP="00BC53AC">
      <w:pPr>
        <w:pStyle w:val="ListParagraph"/>
        <w:numPr>
          <w:ilvl w:val="1"/>
          <w:numId w:val="1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Protein Tanpa Lemak: Ikan, ayam tanpa kulit, telur, dan tahu.  </w:t>
      </w:r>
    </w:p>
    <w:p w:rsidR="00BC53AC" w:rsidRPr="00B118E6" w:rsidRDefault="00BC53AC" w:rsidP="00BC53AC">
      <w:pPr>
        <w:pStyle w:val="ListParagraph"/>
        <w:numPr>
          <w:ilvl w:val="1"/>
          <w:numId w:val="1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Lemak Sehat: Alpukat, minyak zaitun, dan biji rami.  </w:t>
      </w:r>
    </w:p>
    <w:p w:rsidR="00BC53AC" w:rsidRPr="00B118E6" w:rsidRDefault="00BC53AC" w:rsidP="00BC53AC">
      <w:pPr>
        <w:pStyle w:val="ListParagraph"/>
        <w:numPr>
          <w:ilvl w:val="1"/>
          <w:numId w:val="1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Buah dengan Gula Rendah: Apel, pir, stroberi, dan jeruk.  </w:t>
      </w:r>
    </w:p>
    <w:p w:rsidR="00BC53AC" w:rsidRPr="00B118E6" w:rsidRDefault="00BC53AC" w:rsidP="00BC53AC">
      <w:pPr>
        <w:pStyle w:val="ListParagraph"/>
        <w:numPr>
          <w:ilvl w:val="1"/>
          <w:numId w:val="1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BC53AC" w:rsidRPr="00B118E6" w:rsidRDefault="00BC53AC" w:rsidP="00BC53AC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B118E6">
        <w:rPr>
          <w:rFonts w:ascii="Malgun Gothic" w:eastAsia="Malgun Gothic" w:hAnsi="Malgun Gothic"/>
        </w:rPr>
        <w:t>manis</w:t>
      </w:r>
      <w:proofErr w:type="gramEnd"/>
      <w:r w:rsidRPr="00B118E6">
        <w:rPr>
          <w:rFonts w:ascii="Malgun Gothic" w:eastAsia="Malgun Gothic" w:hAnsi="Malgun Gothic"/>
        </w:rPr>
        <w:t xml:space="preserve">, dan makanan olahan.  </w:t>
      </w:r>
    </w:p>
    <w:p w:rsidR="00BC53AC" w:rsidRPr="00B118E6" w:rsidRDefault="00BC53AC" w:rsidP="00BC53AC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Makanan tinggi lemak </w:t>
      </w:r>
      <w:proofErr w:type="gramStart"/>
      <w:r w:rsidRPr="00B118E6">
        <w:rPr>
          <w:rFonts w:ascii="Malgun Gothic" w:eastAsia="Malgun Gothic" w:hAnsi="Malgun Gothic"/>
        </w:rPr>
        <w:t>trans</w:t>
      </w:r>
      <w:proofErr w:type="gramEnd"/>
      <w:r w:rsidRPr="00B118E6">
        <w:rPr>
          <w:rFonts w:ascii="Malgun Gothic" w:eastAsia="Malgun Gothic" w:hAnsi="Malgun Gothic"/>
        </w:rPr>
        <w:t xml:space="preserve">: Gorengan, keripik, dan makanan cepat saji.  </w:t>
      </w:r>
    </w:p>
    <w:p w:rsidR="00BC53AC" w:rsidRPr="00B118E6" w:rsidRDefault="00BC53AC" w:rsidP="00BC53AC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Makanan tinggi indeks glikemik: Nasi putih, roti putih, dan kentang goreng.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MODIFIKASI GAYA HIDUP  </w:t>
      </w:r>
    </w:p>
    <w:p w:rsidR="00BC53AC" w:rsidRPr="00B118E6" w:rsidRDefault="00BC53AC" w:rsidP="00BC53AC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Lakukan aktivitas fisik minimal 30 menit setiap hari, seperti berjalan kaki, bersepeda, atau yoga.  </w:t>
      </w:r>
    </w:p>
    <w:p w:rsidR="00BC53AC" w:rsidRPr="00B118E6" w:rsidRDefault="00BC53AC" w:rsidP="00BC53AC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Hindari stres dengan meditasi, dzikir, atau teknik relaksasi lainnya.  </w:t>
      </w:r>
    </w:p>
    <w:p w:rsidR="00BC53AC" w:rsidRPr="00B118E6" w:rsidRDefault="00BC53AC" w:rsidP="00BC53AC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Tidur yang cukup (7-8 jam per malam) untuk menjaga keseimbangan hormon.  </w:t>
      </w:r>
    </w:p>
    <w:p w:rsidR="00BC53AC" w:rsidRPr="00B118E6" w:rsidRDefault="00BC53AC" w:rsidP="00BC53AC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Pantau berat badan secara rutin dan pertahankan berat badan ideal.  </w:t>
      </w:r>
    </w:p>
    <w:p w:rsidR="00BC53AC" w:rsidRPr="00B118E6" w:rsidRDefault="00BC53AC" w:rsidP="00BC53AC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Batasi konsumsi alkohol dan hindari merokok.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SUPLEMEN YANG DIREKOMENDASIKAN  </w:t>
      </w:r>
    </w:p>
    <w:p w:rsidR="00BC53AC" w:rsidRPr="00B118E6" w:rsidRDefault="00BC53AC" w:rsidP="00BC53AC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Vitamin D: Mendukung sensitivitas insulin dan kesehatan tulang.  </w:t>
      </w:r>
    </w:p>
    <w:p w:rsidR="00BC53AC" w:rsidRPr="00B118E6" w:rsidRDefault="00BC53AC" w:rsidP="00BC53AC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Magnesium: Membantu metabolisme karbohidrat dan fungsi insulin.  </w:t>
      </w:r>
    </w:p>
    <w:p w:rsidR="00BC53AC" w:rsidRPr="00B118E6" w:rsidRDefault="00BC53AC" w:rsidP="00BC53AC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Chromium: Meningkatkan kontrol gula darah.  </w:t>
      </w:r>
    </w:p>
    <w:p w:rsidR="00BC53AC" w:rsidRPr="00B118E6" w:rsidRDefault="00BC53AC" w:rsidP="00BC53AC">
      <w:pPr>
        <w:pStyle w:val="ListParagraph"/>
        <w:numPr>
          <w:ilvl w:val="1"/>
          <w:numId w:val="1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Omega-3: Mendukung kesehatan jantung dan mengurangi peradangan.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lastRenderedPageBreak/>
        <w:t xml:space="preserve">TANDA-TANDA PEMULIHAN  </w:t>
      </w:r>
    </w:p>
    <w:p w:rsidR="00BC53AC" w:rsidRPr="00EE06B2" w:rsidRDefault="00BC53AC" w:rsidP="00EE06B2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E06B2">
        <w:rPr>
          <w:rFonts w:ascii="Malgun Gothic" w:eastAsia="Malgun Gothic" w:hAnsi="Malgun Gothic"/>
        </w:rPr>
        <w:t xml:space="preserve">Kadar gula darah stabil dalam rentang normal (puasa &lt;100 mg/dL, postprandial &lt;140 mg/dL).  </w:t>
      </w:r>
    </w:p>
    <w:p w:rsidR="00BC53AC" w:rsidRPr="00EE06B2" w:rsidRDefault="00BC53AC" w:rsidP="00EE06B2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E06B2">
        <w:rPr>
          <w:rFonts w:ascii="Malgun Gothic" w:eastAsia="Malgun Gothic" w:hAnsi="Malgun Gothic"/>
        </w:rPr>
        <w:t xml:space="preserve">Penurunan gejala seperti sering buang air kecil, rasa haus berlebihan, dan kelelahan.  </w:t>
      </w:r>
    </w:p>
    <w:p w:rsidR="00BC53AC" w:rsidRPr="00EE06B2" w:rsidRDefault="00BC53AC" w:rsidP="00EE06B2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E06B2">
        <w:rPr>
          <w:rFonts w:ascii="Malgun Gothic" w:eastAsia="Malgun Gothic" w:hAnsi="Malgun Gothic"/>
        </w:rPr>
        <w:t xml:space="preserve">Peningkatan energi dan kualitas hidup secara keseluruhan.  </w:t>
      </w:r>
    </w:p>
    <w:p w:rsidR="00BC53AC" w:rsidRPr="00EE06B2" w:rsidRDefault="00BC53AC" w:rsidP="00EE06B2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E06B2">
        <w:rPr>
          <w:rFonts w:ascii="Malgun Gothic" w:eastAsia="Malgun Gothic" w:hAnsi="Malgun Gothic"/>
        </w:rPr>
        <w:t xml:space="preserve">Penyembuhan luka yang lebih cepat.  </w:t>
      </w:r>
    </w:p>
    <w:p w:rsidR="00BC53AC" w:rsidRPr="00EE06B2" w:rsidRDefault="00BC53AC" w:rsidP="00EE06B2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E06B2">
        <w:rPr>
          <w:rFonts w:ascii="Malgun Gothic" w:eastAsia="Malgun Gothic" w:hAnsi="Malgun Gothic"/>
        </w:rPr>
        <w:t xml:space="preserve">Normalisasi tekanan darah dan profil lipid.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Hiperglikemia Tipe 2 (Diabetes)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Formula ini dirancang untuk membantu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darah, meningkatkan sensitivitas insulin, serta melindungi organ tubuh dari kerusakan akibat hiperglikemia kronis. </w:t>
      </w:r>
      <w:proofErr w:type="gramStart"/>
      <w:r w:rsidRPr="00B118E6">
        <w:rPr>
          <w:rFonts w:ascii="Malgun Gothic" w:eastAsia="Malgun Gothic" w:hAnsi="Malgun Gothic"/>
        </w:rPr>
        <w:t>Fokus utama formula ini adalah pada regulasi metabolisme glukosa, pengurangan inflamasi, dan perlindungan sel dari stres oksidatif.</w:t>
      </w:r>
      <w:proofErr w:type="gramEnd"/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Menurunkan Kadar Gula Darah Secara Alami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Meningkatkan Sensitivitas Insulin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Melindungi Organ Tubuh dari Kerusakan Akibat Hiperglikemia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Metabolisme Glukosa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t>Target Terapi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Reseptor &amp; Jalur Target: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Sirkadian Focus: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Komposisi per Kapsul (600 mg):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Mekanisme Aksi Sinergis: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Aturan Konsumsi (Berbasis Ritme Sirkadian):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Catatan Penggunaan: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Insulin Signaling Pathway: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Meningkatkan sensitivitas insulin untuk memperbaiki penyerapan glukosa oleh sel.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AMPK Pathway: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metabolisme glukosa dan lipid untuk mengontrol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tubuh dari kerusakan akibat stres oksidatif yang disebabkan oleh hiperglikemia.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Anti-inflammatory Pathway (NF-κB):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merusak jaringan organ seperti ginjal, jantung, dan mata.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Detoksifikasi Enzyme System (CYP450):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racun dalam tubuh yang dapat memengaruhi kontrol gula darah.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metabolisme glukosa cenderung lebih aktif pada pagi hari saat tubuh mulai mencerna makanan.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sel dan detoksifikasi alami tubuh lebih optimal pada malam hari saat tubuh beristirahat.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antidiabetik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Gymnema sylvestre (daun)   | 120 mg    | Gymnemic acid             |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darah, meningkatkan sensitivitas insulin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Momordica charantia (buah) | 120 mg    | Charantin, polypeptide-P   |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darah, antihiperglikemik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 Cinnamomum cassia (kulit kayu) | 120 mg | Cinnamaldehyde            | Meningkatkan sensitivitas insulin, antidiabetik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Gymnema sylvestre: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gymnemic acid bekerja sinergis untuk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 serta meningkatkan sensitivitas insulin.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Momordica charantia + Cinnamomum cassia: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Charantin dan cinnamaldehyde membantu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 serta mendukung metabolisme glukosa di dalam tubuh.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Curcuma longa + Nigella sativa: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Kurkumin dan thymoquinone mengurangi inflamasi kronis serta melindungi organ tubuh dari kerusakan akibat hiperglikemia.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Insulin Signaling &amp; AMPK Pathway: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sensitivitas insulin dan mengaktifkan metabolisme glukosa untuk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tubuh dari kerusakan akibat stres oksidatif yang disebabkan oleh hiperglikemia.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Mempersiapkan sistem metabolisme untuk aktivitas harian dan mendukung kontrol gula darah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glukosa setelah makan                                      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 Malam (20.00–21.00)| 1 kapsul setelah makan malam | Memaksimalkan proses detoksifikasi dan pemulihan selama istirahat malam         |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diabetes tipe 2 ringan hingga sedang atau sebagai pencegahan bagi individu dengan risiko tinggi.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penurun gula darah seperti metformin tanpa konsultasi dokter.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gula, tinggi serat, minum air putih cukup (minimal 2 liter/hari), </w:t>
      </w:r>
      <w:proofErr w:type="gramStart"/>
      <w:r w:rsidRPr="00B118E6">
        <w:rPr>
          <w:rFonts w:ascii="Malgun Gothic" w:eastAsia="Malgun Gothic" w:hAnsi="Malgun Gothic"/>
        </w:rPr>
        <w:t>dan</w:t>
      </w:r>
      <w:proofErr w:type="gramEnd"/>
      <w:r w:rsidRPr="00B118E6">
        <w:rPr>
          <w:rFonts w:ascii="Malgun Gothic" w:eastAsia="Malgun Gothic" w:hAnsi="Malgun Gothic"/>
        </w:rPr>
        <w:t xml:space="preserve"> berolahraga secara teratur.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 sangat tinggi (&gt;250 mg/dL), kelelahan parah, atau gangguan penglihatan tidak membaik, segera konsultasikan ke dokter.  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BC53AC" w:rsidRPr="00B118E6" w:rsidRDefault="00BC53AC" w:rsidP="00BC53AC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hiperglikemia tipe 2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Pendekatan berbasis reseptor (Insulin Signaling, AMPK, Nrf2) dan ritme sirkadian membuat formula ini efektif dalam menurunkan </w:t>
      </w:r>
      <w:proofErr w:type="gramStart"/>
      <w:r w:rsidRPr="00B118E6">
        <w:rPr>
          <w:rFonts w:ascii="Malgun Gothic" w:eastAsia="Malgun Gothic" w:hAnsi="Malgun Gothic"/>
        </w:rPr>
        <w:t>kadar</w:t>
      </w:r>
      <w:proofErr w:type="gramEnd"/>
      <w:r w:rsidRPr="00B118E6">
        <w:rPr>
          <w:rFonts w:ascii="Malgun Gothic" w:eastAsia="Malgun Gothic" w:hAnsi="Malgun Gothic"/>
        </w:rPr>
        <w:t xml:space="preserve"> gula darah, meningkatkan sensitivitas insulin, serta melindungi organ tubuh dari kerusakan akibat hiperglikemia.</w:t>
      </w:r>
    </w:p>
    <w:p w:rsidR="00B422D9" w:rsidRDefault="00B422D9"/>
    <w:sectPr w:rsidR="00B422D9" w:rsidSect="00450AC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50FB"/>
    <w:multiLevelType w:val="hybridMultilevel"/>
    <w:tmpl w:val="DEF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35519"/>
    <w:multiLevelType w:val="hybridMultilevel"/>
    <w:tmpl w:val="E370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E6503"/>
    <w:multiLevelType w:val="hybridMultilevel"/>
    <w:tmpl w:val="E346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13BA6"/>
    <w:multiLevelType w:val="hybridMultilevel"/>
    <w:tmpl w:val="3D0C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46EB4"/>
    <w:multiLevelType w:val="hybridMultilevel"/>
    <w:tmpl w:val="41888B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4439A"/>
    <w:multiLevelType w:val="hybridMultilevel"/>
    <w:tmpl w:val="7EB4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23F7C"/>
    <w:multiLevelType w:val="hybridMultilevel"/>
    <w:tmpl w:val="8DA4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3366E"/>
    <w:multiLevelType w:val="hybridMultilevel"/>
    <w:tmpl w:val="D8BC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940646">
      <w:numFmt w:val="bullet"/>
      <w:lvlText w:val="-"/>
      <w:lvlJc w:val="left"/>
      <w:pPr>
        <w:ind w:left="216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D4F58"/>
    <w:multiLevelType w:val="hybridMultilevel"/>
    <w:tmpl w:val="5B3E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97ADC"/>
    <w:multiLevelType w:val="hybridMultilevel"/>
    <w:tmpl w:val="22D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A238F"/>
    <w:multiLevelType w:val="hybridMultilevel"/>
    <w:tmpl w:val="BEB6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76661"/>
    <w:multiLevelType w:val="hybridMultilevel"/>
    <w:tmpl w:val="645EFD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81678"/>
    <w:multiLevelType w:val="hybridMultilevel"/>
    <w:tmpl w:val="7E1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95237"/>
    <w:multiLevelType w:val="hybridMultilevel"/>
    <w:tmpl w:val="BD84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2E5684"/>
    <w:multiLevelType w:val="hybridMultilevel"/>
    <w:tmpl w:val="B5B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D5404"/>
    <w:multiLevelType w:val="hybridMultilevel"/>
    <w:tmpl w:val="E4E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11"/>
  </w:num>
  <w:num w:numId="11">
    <w:abstractNumId w:val="14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BC53AC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05B4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0ACA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C702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3AC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A5584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6B2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5</cp:revision>
  <dcterms:created xsi:type="dcterms:W3CDTF">2025-05-19T07:56:00Z</dcterms:created>
  <dcterms:modified xsi:type="dcterms:W3CDTF">2025-05-21T23:25:00Z</dcterms:modified>
</cp:coreProperties>
</file>