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93" w:rsidRPr="00C24513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C24513">
        <w:rPr>
          <w:rFonts w:ascii="Malgun Gothic" w:eastAsia="Malgun Gothic" w:hAnsi="Malgun Gothic"/>
          <w:b/>
          <w:bCs/>
          <w:caps/>
          <w:sz w:val="28"/>
          <w:szCs w:val="28"/>
        </w:rPr>
        <w:t>Penyakit Gagal Ginjal</w:t>
      </w:r>
    </w:p>
    <w:p w:rsidR="00B27993" w:rsidRPr="00B118E6" w:rsidRDefault="00B27993" w:rsidP="00A97C71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Gagal ginjal adalah kondisi medis di mana ginjal kehilangan kemampuannya untuk menyaring dan membuang limbah, racun, serta kelebihan cairan dari darah.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Kondisi ini dapat terjadi secara akut (gagal ginjal akut) atau kronis (penyakit ginjal kronis/Penyakit Ginjal Stadium Akhir/ESRD).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Gagal ginjal dapat menyebabkan penumpukan racun dalam tubuh, ketidakseimbangan elektrolit, dan komplikasi serius lainnya jika tidak ditangani dengan baik.</w:t>
      </w:r>
      <w:proofErr w:type="gramEnd"/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A97C71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C71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B27993" w:rsidRPr="00A97C71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C71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B27993" w:rsidRPr="00A97C71" w:rsidRDefault="00B27993" w:rsidP="00A97C71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Diabetes Melitus: Penyebab utama penyakit ginjal kronis karena kerusakan pada pembuluh darah kecil di ginjal.  </w:t>
      </w:r>
    </w:p>
    <w:p w:rsidR="00B27993" w:rsidRPr="00A97C71" w:rsidRDefault="00B27993" w:rsidP="00A97C71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Hipertensi: Tekanan darah tinggi merusak nefron ginjal, menyebabkan penurunan fungsi filtrasi.  </w:t>
      </w:r>
    </w:p>
    <w:p w:rsidR="00B27993" w:rsidRPr="00A97C71" w:rsidRDefault="00B27993" w:rsidP="00A97C71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Infeksi Ginjal: Infeksi saluran kemih (ISK) yang tidak diobati dapat menyebar ke ginjal.  </w:t>
      </w:r>
    </w:p>
    <w:p w:rsidR="00B27993" w:rsidRPr="00A97C71" w:rsidRDefault="00B27993" w:rsidP="00A97C71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Glomerulonefritis: Peradangan pada glomeruli (unit penyaring di ginjal).  </w:t>
      </w:r>
    </w:p>
    <w:p w:rsidR="00B27993" w:rsidRPr="00A97C71" w:rsidRDefault="00B27993" w:rsidP="00A97C71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Obat-Obatan: Penggunaan obat tertentu seperti NSAID (anti-inflamasi nonsteroid) atau antibiotik berlebihan dapat merusak ginjal.  </w:t>
      </w:r>
    </w:p>
    <w:p w:rsidR="00B27993" w:rsidRPr="00A97C71" w:rsidRDefault="00B27993" w:rsidP="00A97C71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Penyakit Autoimun: Penyakit seperti lupus dapat menyebabkan peradangan pada ginjal.  </w:t>
      </w:r>
    </w:p>
    <w:p w:rsidR="00B27993" w:rsidRPr="00A97C71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C71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B27993" w:rsidRPr="00A97C71" w:rsidRDefault="00B27993" w:rsidP="00A97C71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B27993" w:rsidRPr="00A97C71" w:rsidRDefault="00B27993" w:rsidP="00A97C71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Kelemahan Organ Internal: Terutama ginjal yang tidak bekerja secara optimal akibat pola hidup tidak sehat.  </w:t>
      </w:r>
    </w:p>
    <w:p w:rsidR="00B27993" w:rsidRPr="00A97C71" w:rsidRDefault="00B27993" w:rsidP="00A97C71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Makanan Tidak Sehat: Konsumsi makanan tinggi garam, gorengan, dan olahan dapat memperburuk fungsi ginjal.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A97C71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C71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B27993" w:rsidRPr="00A97C71" w:rsidRDefault="00B27993" w:rsidP="00A97C71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Pembengkakan (edema) pada kaki, pergelangan kaki, wajah, atau tangan akibat retensi cairan.  </w:t>
      </w:r>
    </w:p>
    <w:p w:rsidR="00B27993" w:rsidRPr="00A97C71" w:rsidRDefault="00B27993" w:rsidP="00A97C71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Kelelahan yang persisten akibat anemia atau penumpukan racun.  </w:t>
      </w:r>
    </w:p>
    <w:p w:rsidR="00B27993" w:rsidRPr="00A97C71" w:rsidRDefault="00B27993" w:rsidP="00A97C71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Nafsu makan menurun dan mual/muntah.  </w:t>
      </w:r>
    </w:p>
    <w:p w:rsidR="00B27993" w:rsidRPr="00A97C71" w:rsidRDefault="00B27993" w:rsidP="00A97C71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Perubahan warna urine: Urine berbusa, berdarah, atau sangat sedikit.  </w:t>
      </w:r>
    </w:p>
    <w:p w:rsidR="00B27993" w:rsidRPr="00A97C71" w:rsidRDefault="00B27993" w:rsidP="00A97C71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Sesak napas akibat penumpukan cairan di paru-paru.  </w:t>
      </w:r>
    </w:p>
    <w:p w:rsidR="00B27993" w:rsidRPr="00A97C71" w:rsidRDefault="00B27993" w:rsidP="00A97C71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lastRenderedPageBreak/>
        <w:t xml:space="preserve">Hipertensi sulit dikendalikan.  </w:t>
      </w:r>
    </w:p>
    <w:p w:rsidR="00B27993" w:rsidRPr="00A97C71" w:rsidRDefault="00B27993" w:rsidP="00A97C71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Kulit kering dan gatal akibat penumpukan racun.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A97C71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C71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B27993" w:rsidRPr="00A97C71" w:rsidRDefault="00B27993" w:rsidP="00A97C71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Kerusakan Nefron: Unit penyaring ginjal mengalami kerusakan akibat diabetes, hipertensi, atau penyakit lainnya.  </w:t>
      </w:r>
    </w:p>
    <w:p w:rsidR="00B27993" w:rsidRPr="00A97C71" w:rsidRDefault="00B27993" w:rsidP="00A97C71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Penurunan Laju Filtrasi Glomerulus (LFG): Ginjal kehilangan kemampuan untuk menyaring darah secara efektif.  </w:t>
      </w:r>
    </w:p>
    <w:p w:rsidR="00B27993" w:rsidRPr="00A97C71" w:rsidRDefault="00B27993" w:rsidP="00A97C71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Komplikasi: Penumpukan urea, kreatinin, dan elektrolit abnormal dapat menyebabkan gagal jantung, stroke, atau koma uremik.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A97C71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C71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B27993" w:rsidRPr="00A97C71" w:rsidRDefault="00B27993" w:rsidP="00A97C71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Diabetes melitus (risiko utama).  </w:t>
      </w:r>
    </w:p>
    <w:p w:rsidR="00B27993" w:rsidRPr="00A97C71" w:rsidRDefault="00B27993" w:rsidP="00A97C71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Hipertensi yang tidak terkontrol.  </w:t>
      </w:r>
    </w:p>
    <w:p w:rsidR="00B27993" w:rsidRPr="00A97C71" w:rsidRDefault="00B27993" w:rsidP="00A97C71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A97C71">
        <w:rPr>
          <w:rFonts w:ascii="Malgun Gothic" w:eastAsia="Malgun Gothic" w:hAnsi="Malgun Gothic"/>
        </w:rPr>
        <w:t>Usia</w:t>
      </w:r>
      <w:proofErr w:type="gramEnd"/>
      <w:r w:rsidRPr="00A97C71">
        <w:rPr>
          <w:rFonts w:ascii="Malgun Gothic" w:eastAsia="Malgun Gothic" w:hAnsi="Malgun Gothic"/>
        </w:rPr>
        <w:t xml:space="preserve"> lanjut (di atas 60 tahun).  </w:t>
      </w:r>
    </w:p>
    <w:p w:rsidR="00B27993" w:rsidRPr="00A97C71" w:rsidRDefault="00B27993" w:rsidP="00A97C71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Riwayat keluarga dengan penyakit ginjal.  </w:t>
      </w:r>
    </w:p>
    <w:p w:rsidR="00B27993" w:rsidRPr="00A97C71" w:rsidRDefault="00B27993" w:rsidP="00A97C71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Obesitas atau kelebihan berat badan.  </w:t>
      </w:r>
    </w:p>
    <w:p w:rsidR="00B27993" w:rsidRPr="00A97C71" w:rsidRDefault="00B27993" w:rsidP="00A97C71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Pola makan tinggi garam dan protein hewani.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A97C71" w:rsidRDefault="00B27993" w:rsidP="00580F2D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C71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B27993" w:rsidRPr="00A97C71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97C71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Terapi Penggantian Ginjal:  </w:t>
      </w:r>
    </w:p>
    <w:p w:rsidR="00B27993" w:rsidRPr="00A97C71" w:rsidRDefault="00B27993" w:rsidP="00A97C71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Dialisis: Proses penyaringan darah menggunakan mesin untuk menggantikan fungsi ginjal.  </w:t>
      </w:r>
    </w:p>
    <w:p w:rsidR="00B27993" w:rsidRPr="00A97C71" w:rsidRDefault="00B27993" w:rsidP="00A97C71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97C71">
        <w:rPr>
          <w:rFonts w:ascii="Malgun Gothic" w:eastAsia="Malgun Gothic" w:hAnsi="Malgun Gothic"/>
        </w:rPr>
        <w:t xml:space="preserve">Transplantasi Ginjal: Mengganti ginjal yang rusak dengan ginjal donor.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Obat-Obatan:  </w:t>
      </w:r>
    </w:p>
    <w:p w:rsidR="00B27993" w:rsidRPr="009E7646" w:rsidRDefault="00B27993" w:rsidP="009E7646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Antihipertensi: Untuk mengontrol tekanan darah (misalnya ACE inhibitor).  </w:t>
      </w:r>
    </w:p>
    <w:p w:rsidR="00B27993" w:rsidRPr="009E7646" w:rsidRDefault="00B27993" w:rsidP="009E7646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Eritropoetin (EPO): Untuk mengatasi anemia akibat gagal ginjal.  </w:t>
      </w:r>
    </w:p>
    <w:p w:rsidR="00B27993" w:rsidRPr="009E7646" w:rsidRDefault="00B27993" w:rsidP="009E7646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Fosfat Binder: Untuk mengurangi </w:t>
      </w:r>
      <w:proofErr w:type="gramStart"/>
      <w:r w:rsidRPr="009E7646">
        <w:rPr>
          <w:rFonts w:ascii="Malgun Gothic" w:eastAsia="Malgun Gothic" w:hAnsi="Malgun Gothic"/>
        </w:rPr>
        <w:t>kadar</w:t>
      </w:r>
      <w:proofErr w:type="gramEnd"/>
      <w:r w:rsidRPr="009E7646">
        <w:rPr>
          <w:rFonts w:ascii="Malgun Gothic" w:eastAsia="Malgun Gothic" w:hAnsi="Malgun Gothic"/>
        </w:rPr>
        <w:t xml:space="preserve"> fosfor dalam darah.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Perubahan Gaya Hidup:  </w:t>
      </w:r>
    </w:p>
    <w:p w:rsidR="00B27993" w:rsidRPr="009E7646" w:rsidRDefault="00B27993" w:rsidP="009E7646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Diet rendah garam, protein, dan kalium.  </w:t>
      </w:r>
    </w:p>
    <w:p w:rsidR="00B27993" w:rsidRPr="009E7646" w:rsidRDefault="00B27993" w:rsidP="009E7646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Pantau cairan masuk dan keluar secara ketat.  </w:t>
      </w:r>
    </w:p>
    <w:p w:rsidR="00B27993" w:rsidRPr="002E50AB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E50AB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B27993" w:rsidRPr="002E50AB" w:rsidRDefault="00B27993" w:rsidP="002E50AB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E50AB">
        <w:rPr>
          <w:rFonts w:ascii="Malgun Gothic" w:eastAsia="Malgun Gothic" w:hAnsi="Malgun Gothic"/>
        </w:rPr>
        <w:t xml:space="preserve">Daun Kumis Kucing: Direbus dan diminum untuk membantu melancarkan fungsi ginjal.  </w:t>
      </w:r>
    </w:p>
    <w:p w:rsidR="00B27993" w:rsidRPr="002E50AB" w:rsidRDefault="00B27993" w:rsidP="002E50AB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E50AB">
        <w:rPr>
          <w:rFonts w:ascii="Malgun Gothic" w:eastAsia="Malgun Gothic" w:hAnsi="Malgun Gothic"/>
        </w:rPr>
        <w:lastRenderedPageBreak/>
        <w:t xml:space="preserve">Kunyit: Bersifat anti-inflamasi dan membantu detoksifikasi tubuh.  </w:t>
      </w:r>
    </w:p>
    <w:p w:rsidR="00B27993" w:rsidRPr="002E50AB" w:rsidRDefault="00B27993" w:rsidP="002E50AB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E50AB">
        <w:rPr>
          <w:rFonts w:ascii="Malgun Gothic" w:eastAsia="Malgun Gothic" w:hAnsi="Malgun Gothic"/>
        </w:rPr>
        <w:t xml:space="preserve">Jahe: Diminum sebagai teh untuk membantu meningkatkan sirkulasi darah.  </w:t>
      </w:r>
    </w:p>
    <w:p w:rsidR="00B27993" w:rsidRPr="002E50AB" w:rsidRDefault="00B27993" w:rsidP="002E50AB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E50AB">
        <w:rPr>
          <w:rFonts w:ascii="Malgun Gothic" w:eastAsia="Malgun Gothic" w:hAnsi="Malgun Gothic"/>
        </w:rPr>
        <w:t xml:space="preserve">Madu Murni: Dikonsumsi untuk mendukung detoksifikasi tubuh.  </w:t>
      </w:r>
    </w:p>
    <w:p w:rsidR="00B27993" w:rsidRPr="002E50AB" w:rsidRDefault="00B27993" w:rsidP="002E50AB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E50AB">
        <w:rPr>
          <w:rFonts w:ascii="Malgun Gothic" w:eastAsia="Malgun Gothic" w:hAnsi="Malgun Gothic"/>
        </w:rPr>
        <w:t xml:space="preserve">Kayu Manis: Membantu mengatur tekanan darah dan metabolisme tubuh.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B27993" w:rsidRPr="002E50AB" w:rsidRDefault="00B27993" w:rsidP="002E50AB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E50AB">
        <w:rPr>
          <w:rFonts w:ascii="Malgun Gothic" w:eastAsia="Malgun Gothic" w:hAnsi="Malgun Gothic"/>
        </w:rPr>
        <w:t xml:space="preserve">Titik Bekam: Area lokal di punggung bawah atau pundak untuk memperbaiki aliran darah dan detoksifikasi.  </w:t>
      </w:r>
    </w:p>
    <w:p w:rsidR="00B27993" w:rsidRPr="002E50AB" w:rsidRDefault="00B27993" w:rsidP="002E50AB">
      <w:pPr>
        <w:pStyle w:val="ListParagraph"/>
        <w:numPr>
          <w:ilvl w:val="1"/>
          <w:numId w:val="3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E50AB">
        <w:rPr>
          <w:rFonts w:ascii="Malgun Gothic" w:eastAsia="Malgun Gothic" w:hAnsi="Malgun Gothic"/>
        </w:rPr>
        <w:t xml:space="preserve">Frekuensi: Setiap 2 minggu sekali sesuai kondisi pasien.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9E7646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7646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B27993" w:rsidRPr="009E7646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7646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B27993" w:rsidRPr="009E7646" w:rsidRDefault="00B27993" w:rsidP="009E7646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Rendah Garam: Nasi, roti gandum, dan sayuran </w:t>
      </w:r>
      <w:proofErr w:type="gramStart"/>
      <w:r w:rsidRPr="009E7646">
        <w:rPr>
          <w:rFonts w:ascii="Malgun Gothic" w:eastAsia="Malgun Gothic" w:hAnsi="Malgun Gothic"/>
        </w:rPr>
        <w:t>segar</w:t>
      </w:r>
      <w:proofErr w:type="gramEnd"/>
      <w:r w:rsidRPr="009E7646">
        <w:rPr>
          <w:rFonts w:ascii="Malgun Gothic" w:eastAsia="Malgun Gothic" w:hAnsi="Malgun Gothic"/>
        </w:rPr>
        <w:t xml:space="preserve"> tanpa bumbu berlebih.  </w:t>
      </w:r>
    </w:p>
    <w:p w:rsidR="00B27993" w:rsidRPr="009E7646" w:rsidRDefault="00B27993" w:rsidP="009E7646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Buah-Buahan Rendah Kalium: Apel, pir, stroberi, dan anggur.  </w:t>
      </w:r>
    </w:p>
    <w:p w:rsidR="00B27993" w:rsidRPr="009E7646" w:rsidRDefault="00B27993" w:rsidP="009E7646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Protein Berkualitas Tinggi: Ikan, ayam tanpa kulit, dan putih telur (dikonsumsi dalam jumlah terbatas).  </w:t>
      </w:r>
    </w:p>
    <w:p w:rsidR="00B27993" w:rsidRPr="009E7646" w:rsidRDefault="00B27993" w:rsidP="009E7646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Sayuran Hijau: Bayam, brokoli, kangkung (dimasak untuk mengurangi kalium).  </w:t>
      </w:r>
    </w:p>
    <w:p w:rsidR="00B27993" w:rsidRPr="009E7646" w:rsidRDefault="00B27993" w:rsidP="009E7646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Air Putih: Dikonsumsi sesuai kebutuhan dan batasan dokter.  </w:t>
      </w:r>
    </w:p>
    <w:p w:rsidR="00B27993" w:rsidRPr="009E7646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7646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B27993" w:rsidRPr="009E7646" w:rsidRDefault="00B27993" w:rsidP="009E7646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Makanan tinggi garam: Keripik, makanan kaleng, dan camilan asin.  </w:t>
      </w:r>
    </w:p>
    <w:p w:rsidR="00B27993" w:rsidRPr="009E7646" w:rsidRDefault="00B27993" w:rsidP="009E7646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Makanan tinggi kalium: Pisang, alpukat, kentang, dan tomat.  </w:t>
      </w:r>
    </w:p>
    <w:p w:rsidR="00B27993" w:rsidRPr="009E7646" w:rsidRDefault="00B27993" w:rsidP="009E7646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Protein hewani berlebih: Daging merah, jeroan, dan produk </w:t>
      </w:r>
      <w:proofErr w:type="gramStart"/>
      <w:r w:rsidRPr="009E7646">
        <w:rPr>
          <w:rFonts w:ascii="Malgun Gothic" w:eastAsia="Malgun Gothic" w:hAnsi="Malgun Gothic"/>
        </w:rPr>
        <w:t>susu</w:t>
      </w:r>
      <w:proofErr w:type="gramEnd"/>
      <w:r w:rsidRPr="009E7646">
        <w:rPr>
          <w:rFonts w:ascii="Malgun Gothic" w:eastAsia="Malgun Gothic" w:hAnsi="Malgun Gothic"/>
        </w:rPr>
        <w:t xml:space="preserve"> tinggi protein.  </w:t>
      </w:r>
    </w:p>
    <w:p w:rsidR="00B27993" w:rsidRPr="009E7646" w:rsidRDefault="00B27993" w:rsidP="009E7646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Makanan olahan: Makanan cepat saji, makanan beku, dan makanan tinggi fosfat.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9E7646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7646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B27993" w:rsidRPr="009E7646" w:rsidRDefault="00B27993" w:rsidP="009E7646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Minum air putih sesuai anjuran dokter untuk menjaga keseimbangan cairan.  </w:t>
      </w:r>
    </w:p>
    <w:p w:rsidR="00B27993" w:rsidRPr="009E7646" w:rsidRDefault="00B27993" w:rsidP="009E7646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Lakukan aktivitas fisik minimal 30 menit setiap hari, seperti berjalan kaki, yoga, atau bersepeda.  </w:t>
      </w:r>
    </w:p>
    <w:p w:rsidR="00B27993" w:rsidRPr="009E7646" w:rsidRDefault="00B27993" w:rsidP="009E7646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B27993" w:rsidRPr="009E7646" w:rsidRDefault="00B27993" w:rsidP="009E7646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Pantau tekanan darah dan </w:t>
      </w:r>
      <w:proofErr w:type="gramStart"/>
      <w:r w:rsidRPr="009E7646">
        <w:rPr>
          <w:rFonts w:ascii="Malgun Gothic" w:eastAsia="Malgun Gothic" w:hAnsi="Malgun Gothic"/>
        </w:rPr>
        <w:t>kadar</w:t>
      </w:r>
      <w:proofErr w:type="gramEnd"/>
      <w:r w:rsidRPr="009E7646">
        <w:rPr>
          <w:rFonts w:ascii="Malgun Gothic" w:eastAsia="Malgun Gothic" w:hAnsi="Malgun Gothic"/>
        </w:rPr>
        <w:t xml:space="preserve"> gula darah secara rutin.  </w:t>
      </w:r>
    </w:p>
    <w:p w:rsidR="00B27993" w:rsidRPr="009E7646" w:rsidRDefault="00B27993" w:rsidP="009E7646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Hindari merokok dan konsumsi alkohol.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9E7646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7646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B27993" w:rsidRPr="009E7646" w:rsidRDefault="00B27993" w:rsidP="009E7646">
      <w:pPr>
        <w:pStyle w:val="ListParagraph"/>
        <w:numPr>
          <w:ilvl w:val="1"/>
          <w:numId w:val="22"/>
        </w:numPr>
        <w:spacing w:after="0" w:line="240" w:lineRule="auto"/>
        <w:ind w:left="284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Vitamin D: Mendukung kesehatan tulang dan sistem kekebalan tubuh.  </w:t>
      </w:r>
    </w:p>
    <w:p w:rsidR="00B27993" w:rsidRPr="009E7646" w:rsidRDefault="00B27993" w:rsidP="009E7646">
      <w:pPr>
        <w:pStyle w:val="ListParagraph"/>
        <w:numPr>
          <w:ilvl w:val="1"/>
          <w:numId w:val="22"/>
        </w:numPr>
        <w:spacing w:after="0" w:line="240" w:lineRule="auto"/>
        <w:ind w:left="284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Omega-3: Mengurangi peradangan dan mendukung kesehatan ginjal.  </w:t>
      </w:r>
    </w:p>
    <w:p w:rsidR="00B27993" w:rsidRPr="009E7646" w:rsidRDefault="00B27993" w:rsidP="009E7646">
      <w:pPr>
        <w:pStyle w:val="ListParagraph"/>
        <w:numPr>
          <w:ilvl w:val="1"/>
          <w:numId w:val="22"/>
        </w:numPr>
        <w:spacing w:after="0" w:line="240" w:lineRule="auto"/>
        <w:ind w:left="284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lastRenderedPageBreak/>
        <w:t xml:space="preserve">Magnesium: Membantu mengatur tekanan darah dan fungsi otot.  </w:t>
      </w:r>
    </w:p>
    <w:p w:rsidR="00B27993" w:rsidRPr="009E7646" w:rsidRDefault="00B27993" w:rsidP="009E7646">
      <w:pPr>
        <w:pStyle w:val="ListParagraph"/>
        <w:numPr>
          <w:ilvl w:val="1"/>
          <w:numId w:val="22"/>
        </w:numPr>
        <w:spacing w:after="0" w:line="240" w:lineRule="auto"/>
        <w:ind w:left="284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Coenzyme Q10 (CoQ10): Membantu melindungi sel tubuh dari kerusakan oksidatif.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9E7646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7646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B27993" w:rsidRPr="009E7646" w:rsidRDefault="00B27993" w:rsidP="009E764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Peningkatan laju filtrasi glomerulus (LFG) atau stabilisasi fungsi ginjal.  </w:t>
      </w:r>
    </w:p>
    <w:p w:rsidR="00B27993" w:rsidRPr="009E7646" w:rsidRDefault="00B27993" w:rsidP="009E764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Berkurangnya edema dan normalisasi tekanan darah.  </w:t>
      </w:r>
    </w:p>
    <w:p w:rsidR="00B27993" w:rsidRPr="009E7646" w:rsidRDefault="00B27993" w:rsidP="009E764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Peningkatan energi dan nafsu makan.  </w:t>
      </w:r>
    </w:p>
    <w:p w:rsidR="00B27993" w:rsidRPr="009E7646" w:rsidRDefault="00B27993" w:rsidP="009E764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Normalisasi </w:t>
      </w:r>
      <w:proofErr w:type="gramStart"/>
      <w:r w:rsidRPr="009E7646">
        <w:rPr>
          <w:rFonts w:ascii="Malgun Gothic" w:eastAsia="Malgun Gothic" w:hAnsi="Malgun Gothic"/>
        </w:rPr>
        <w:t>kadar</w:t>
      </w:r>
      <w:proofErr w:type="gramEnd"/>
      <w:r w:rsidRPr="009E7646">
        <w:rPr>
          <w:rFonts w:ascii="Malgun Gothic" w:eastAsia="Malgun Gothic" w:hAnsi="Malgun Gothic"/>
        </w:rPr>
        <w:t xml:space="preserve"> elektrolit dalam darah.  </w:t>
      </w:r>
    </w:p>
    <w:p w:rsidR="00B27993" w:rsidRPr="009E7646" w:rsidRDefault="00B27993" w:rsidP="009E7646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7646">
        <w:rPr>
          <w:rFonts w:ascii="Malgun Gothic" w:eastAsia="Malgun Gothic" w:hAnsi="Malgun Gothic"/>
        </w:rPr>
        <w:t xml:space="preserve">Peningkatan kualitas hidup secara keseluruhan.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Penyakit Gagal Ginjal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melindungi fungsi ginjal, mengurangi kerusakan sel tubulus ginjal akibat stres oksidatif dan inflamasi, serta mendukung detoksifikasi tubuh.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penghambatan jalur inflamasi, perlindungan sel ginjal, dan peningkatan fungsi filtrasi ginjal.</w:t>
      </w:r>
      <w:proofErr w:type="gramEnd"/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Fungsi Ginjal &amp; Mencegah Kerusakan Lebih Lanjut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Meningkatkan Detoksifikasi Tubuh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Mengurangi Beban Metabolik pada Ginjal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Nefrologis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Nrf2 Pathway: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produksi antioksidan alami tubuh untuk melindungi sel ginjal dari stres oksidatif.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Mengurangi inflamasi kronis yang dapat memperburuk kerusakan ginjal.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Angiotensin II Receptor Pathway: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tekanan darah tinggi yang menjadi faktor risiko utama gagal ginjal.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TGF-β (Transforming Growth Factor Beta):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Menghambat fibrosis ginjal yang menyebabkan penurunan fungsi filtrasi.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Uremic Toxin Pathway: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ekskresi racun uremik melalui metabolisme hati dan ginjal.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filtrasi ginjal cenderung lebih rendah pada malam hari karena penurunan aliran darah ke ginjal.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detoksifikasi tubuh dan regenerasi sel ginjal lebih optimal pada pagi–siang hari.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ginjal, antiradang     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Orthosiphon stamineus (daun) | 120 </w:t>
      </w:r>
      <w:proofErr w:type="gramStart"/>
      <w:r w:rsidRPr="00B118E6">
        <w:rPr>
          <w:rFonts w:ascii="Malgun Gothic" w:eastAsia="Malgun Gothic" w:hAnsi="Malgun Gothic"/>
        </w:rPr>
        <w:t>mg  |</w:t>
      </w:r>
      <w:proofErr w:type="gramEnd"/>
      <w:r w:rsidRPr="00B118E6">
        <w:rPr>
          <w:rFonts w:ascii="Malgun Gothic" w:eastAsia="Malgun Gothic" w:hAnsi="Malgun Gothic"/>
        </w:rPr>
        <w:t xml:space="preserve"> Sinensetin, flavonoid     | Diuretik ringan, pelindung ginjal            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longa (rimpang)    | 120 mg    | Kurkumin                  | Antiinflamasi, pelindung sel tubulus </w:t>
      </w:r>
      <w:proofErr w:type="gramStart"/>
      <w:r w:rsidRPr="00B118E6">
        <w:rPr>
          <w:rFonts w:ascii="Malgun Gothic" w:eastAsia="Malgun Gothic" w:hAnsi="Malgun Gothic"/>
        </w:rPr>
        <w:t>ginjal  |</w:t>
      </w:r>
      <w:proofErr w:type="gramEnd"/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Salvia miltiorrhiza (akar) | 120 mg    | Tanshinon, salvianolic acid | Melindungi mikrosirkulasi ginjal             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Phyllanthus niruri (herba) | 120 mg    | Lignan, flavonoid         | Detoksifikasi, pelindung ginjal              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Mekanisme Aksi Sinergis: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sel tubulus ginjal dari kerusakan oksidatif.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Orthosiphon stamineus + Phyllanthus niruri: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Sinensetin dan lignan mendukung detoksifikasi tubuh serta meningkatkan fungsi filtrasi ginjal.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Salvia miltiorrhiza + Nigella sativa: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Tanshinon dan thymoquinone melindungi mikrosirkulasi ginjal dan mengurangi fibrosis.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Nrf2 &amp; NF-κB Pathway: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dan melindungi sel ginjal dari kerusakan akibat radikal bebas.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Angiotensin II Receptor Pathway: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Menurunkan tekanan darah tinggi yang menjadi faktor risiko utama gagal ginjal.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ginjal untuk aktivitas harian dan mendukung detoksifikasi pagi   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proses filtrasi ginjal setelah makan                                   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regenerasi sel ginjal dan mengurangi beban metabolik malam       |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gagal ginjal ringan hingga sedang atau sebagai pencegahan bagi individu dengan risiko tinggi.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Hindari konsumsi bersama obat diuretik atau obat ginjal lainnya tanpa konsultasi dokter.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diet rendah garam, protein moderat, dan air putih cukup </w:t>
      </w:r>
      <w:proofErr w:type="gramStart"/>
      <w:r w:rsidRPr="00B118E6">
        <w:rPr>
          <w:rFonts w:ascii="Malgun Gothic" w:eastAsia="Malgun Gothic" w:hAnsi="Malgun Gothic"/>
        </w:rPr>
        <w:t>(minimal 2 liter/hari)</w:t>
      </w:r>
      <w:proofErr w:type="gramEnd"/>
      <w:r w:rsidRPr="00B118E6">
        <w:rPr>
          <w:rFonts w:ascii="Malgun Gothic" w:eastAsia="Malgun Gothic" w:hAnsi="Malgun Gothic"/>
        </w:rPr>
        <w:t xml:space="preserve">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pembengkakan (edema), sesak napas, atau penurunan fungsi ginjal berlanjut, segera konsultasikan ke dokter.  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gagal ginjal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(Nrf2, NF-κB, Angiotensin II) dan ritme sirkadian membuat formula ini efektif dalam melindungi fungsi ginjal, mengurangi inflamasi, serta mendukung detoksifikasi tubuh.</w:t>
      </w:r>
      <w:proofErr w:type="gramEnd"/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</w:rPr>
      </w:pPr>
    </w:p>
    <w:p w:rsidR="00B27993" w:rsidRPr="00B118E6" w:rsidRDefault="00B27993" w:rsidP="00B27993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br w:type="page"/>
      </w:r>
    </w:p>
    <w:p w:rsidR="00B422D9" w:rsidRDefault="00B422D9"/>
    <w:sectPr w:rsidR="00B422D9" w:rsidSect="00C2451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6A71"/>
    <w:multiLevelType w:val="hybridMultilevel"/>
    <w:tmpl w:val="646C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27ACE"/>
    <w:multiLevelType w:val="hybridMultilevel"/>
    <w:tmpl w:val="035A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F4708"/>
    <w:multiLevelType w:val="hybridMultilevel"/>
    <w:tmpl w:val="7B12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93175"/>
    <w:multiLevelType w:val="hybridMultilevel"/>
    <w:tmpl w:val="3B1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65271"/>
    <w:multiLevelType w:val="hybridMultilevel"/>
    <w:tmpl w:val="FE6E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255B4"/>
    <w:multiLevelType w:val="hybridMultilevel"/>
    <w:tmpl w:val="BA3AB5B0"/>
    <w:lvl w:ilvl="0" w:tplc="CD40A94E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E6DA7"/>
    <w:multiLevelType w:val="hybridMultilevel"/>
    <w:tmpl w:val="CC50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2329A"/>
    <w:multiLevelType w:val="hybridMultilevel"/>
    <w:tmpl w:val="E8BC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7633D"/>
    <w:multiLevelType w:val="hybridMultilevel"/>
    <w:tmpl w:val="D3B2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C3CEF"/>
    <w:multiLevelType w:val="hybridMultilevel"/>
    <w:tmpl w:val="A85C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73F18"/>
    <w:multiLevelType w:val="hybridMultilevel"/>
    <w:tmpl w:val="5B10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74811"/>
    <w:multiLevelType w:val="hybridMultilevel"/>
    <w:tmpl w:val="E7F8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26785"/>
    <w:multiLevelType w:val="hybridMultilevel"/>
    <w:tmpl w:val="5F6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26FB4"/>
    <w:multiLevelType w:val="hybridMultilevel"/>
    <w:tmpl w:val="6DCA38EA"/>
    <w:lvl w:ilvl="0" w:tplc="F116A33A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73C88"/>
    <w:multiLevelType w:val="hybridMultilevel"/>
    <w:tmpl w:val="BF54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81688"/>
    <w:multiLevelType w:val="hybridMultilevel"/>
    <w:tmpl w:val="2B302188"/>
    <w:lvl w:ilvl="0" w:tplc="D4BA687E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817029"/>
    <w:multiLevelType w:val="hybridMultilevel"/>
    <w:tmpl w:val="41BE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C606D"/>
    <w:multiLevelType w:val="hybridMultilevel"/>
    <w:tmpl w:val="28A81032"/>
    <w:lvl w:ilvl="0" w:tplc="13A4DC40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157866"/>
    <w:multiLevelType w:val="hybridMultilevel"/>
    <w:tmpl w:val="57327AD6"/>
    <w:lvl w:ilvl="0" w:tplc="8B6C1B7A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F5A32"/>
    <w:multiLevelType w:val="hybridMultilevel"/>
    <w:tmpl w:val="1120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04EBB"/>
    <w:multiLevelType w:val="hybridMultilevel"/>
    <w:tmpl w:val="F1C0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035F8">
      <w:start w:val="2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765BA"/>
    <w:multiLevelType w:val="hybridMultilevel"/>
    <w:tmpl w:val="DEF6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F742A7"/>
    <w:multiLevelType w:val="hybridMultilevel"/>
    <w:tmpl w:val="78F6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3D1692"/>
    <w:multiLevelType w:val="hybridMultilevel"/>
    <w:tmpl w:val="49E2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E5EFA"/>
    <w:multiLevelType w:val="hybridMultilevel"/>
    <w:tmpl w:val="CCF0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6420D"/>
    <w:multiLevelType w:val="hybridMultilevel"/>
    <w:tmpl w:val="3F92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C238C"/>
    <w:multiLevelType w:val="hybridMultilevel"/>
    <w:tmpl w:val="B9BA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432741"/>
    <w:multiLevelType w:val="hybridMultilevel"/>
    <w:tmpl w:val="5CC8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2B4E2B"/>
    <w:multiLevelType w:val="hybridMultilevel"/>
    <w:tmpl w:val="1964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D5B20"/>
    <w:multiLevelType w:val="hybridMultilevel"/>
    <w:tmpl w:val="5E5A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9"/>
  </w:num>
  <w:num w:numId="4">
    <w:abstractNumId w:val="5"/>
  </w:num>
  <w:num w:numId="5">
    <w:abstractNumId w:val="12"/>
  </w:num>
  <w:num w:numId="6">
    <w:abstractNumId w:val="15"/>
  </w:num>
  <w:num w:numId="7">
    <w:abstractNumId w:val="20"/>
  </w:num>
  <w:num w:numId="8">
    <w:abstractNumId w:val="17"/>
  </w:num>
  <w:num w:numId="9">
    <w:abstractNumId w:val="1"/>
  </w:num>
  <w:num w:numId="10">
    <w:abstractNumId w:val="13"/>
  </w:num>
  <w:num w:numId="11">
    <w:abstractNumId w:val="4"/>
  </w:num>
  <w:num w:numId="12">
    <w:abstractNumId w:val="23"/>
  </w:num>
  <w:num w:numId="13">
    <w:abstractNumId w:val="6"/>
  </w:num>
  <w:num w:numId="14">
    <w:abstractNumId w:val="9"/>
  </w:num>
  <w:num w:numId="15">
    <w:abstractNumId w:val="21"/>
  </w:num>
  <w:num w:numId="16">
    <w:abstractNumId w:val="8"/>
  </w:num>
  <w:num w:numId="17">
    <w:abstractNumId w:val="19"/>
  </w:num>
  <w:num w:numId="18">
    <w:abstractNumId w:val="22"/>
  </w:num>
  <w:num w:numId="19">
    <w:abstractNumId w:val="24"/>
  </w:num>
  <w:num w:numId="20">
    <w:abstractNumId w:val="7"/>
  </w:num>
  <w:num w:numId="21">
    <w:abstractNumId w:val="26"/>
  </w:num>
  <w:num w:numId="22">
    <w:abstractNumId w:val="14"/>
  </w:num>
  <w:num w:numId="23">
    <w:abstractNumId w:val="2"/>
  </w:num>
  <w:num w:numId="24">
    <w:abstractNumId w:val="25"/>
  </w:num>
  <w:num w:numId="25">
    <w:abstractNumId w:val="10"/>
  </w:num>
  <w:num w:numId="26">
    <w:abstractNumId w:val="27"/>
  </w:num>
  <w:num w:numId="27">
    <w:abstractNumId w:val="3"/>
  </w:num>
  <w:num w:numId="28">
    <w:abstractNumId w:val="28"/>
  </w:num>
  <w:num w:numId="29">
    <w:abstractNumId w:val="0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B27993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E50AB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0F2D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B498F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E764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97C71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27993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4513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B376B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2025-05-20T01:12:00Z</dcterms:created>
  <dcterms:modified xsi:type="dcterms:W3CDTF">2025-05-29T12:54:00Z</dcterms:modified>
</cp:coreProperties>
</file>