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AE0917">
        <w:rPr>
          <w:rFonts w:ascii="Malgun Gothic" w:eastAsia="Malgun Gothic" w:hAnsi="Malgun Gothic"/>
          <w:b/>
          <w:bCs/>
          <w:caps/>
          <w:sz w:val="28"/>
          <w:szCs w:val="28"/>
        </w:rPr>
        <w:t>Peradangan/ pembengkakan kotak suara (Laringitis)</w:t>
      </w:r>
    </w:p>
    <w:p w:rsidR="00E8785E" w:rsidRPr="00B118E6" w:rsidRDefault="00E8785E" w:rsidP="00AE0917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Laringitis adalah kondisi peradangan atau pembengkakan pada kotak suara (laring), yang sering menyebabkan suara serak, hilangnya suara, atau kesulitan berbicara.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Kondisi ini dapat bersifat akut (berlangsung singkat) atau kronis (berlangsung lama) dan biasanya disebabkan oleh infeksi virus, bakteri, atau iritasi akibat penggunaan suara berlebihan, merokok, atau paparan polusi udara.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Meskipun umumnya tidak serius, laringitis dapat memengaruhi kualitas hidup jika tidak ditangani dengan baik.</w:t>
      </w:r>
      <w:proofErr w:type="gramEnd"/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Infeksi Virus: Penyakit seperti flu, pilek, atau infeksi saluran pernapasan atas sering memicu laringitis.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Infeksi Bakteri: Infeksi bakteri lebih jarang tetapi dapat menyebabkan peradangan parah.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Penggunaan Suara Berlebihan: Berteriak atau berbicara terlalu keras dalam waktu lama.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Iritasi: Paparan </w:t>
      </w:r>
      <w:proofErr w:type="gramStart"/>
      <w:r w:rsidRPr="00AE0917">
        <w:rPr>
          <w:rFonts w:ascii="Malgun Gothic" w:eastAsia="Malgun Gothic" w:hAnsi="Malgun Gothic"/>
        </w:rPr>
        <w:t>asap</w:t>
      </w:r>
      <w:proofErr w:type="gramEnd"/>
      <w:r w:rsidRPr="00AE0917">
        <w:rPr>
          <w:rFonts w:ascii="Malgun Gothic" w:eastAsia="Malgun Gothic" w:hAnsi="Malgun Gothic"/>
        </w:rPr>
        <w:t xml:space="preserve"> rokok, polusi udara, atau bahan kimia beracun.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Refluks Asam Lambung (GERD): Asam lambung yang naik ke tenggorokan dapat mengiritasi laring.  </w:t>
      </w:r>
    </w:p>
    <w:p w:rsidR="00E8785E" w:rsidRPr="00AE0917" w:rsidRDefault="00E8785E" w:rsidP="00AE0917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Alergi: Reaksi alergi dapat menyebabkan pembengkakan jaringan di sekitar laring.  </w:t>
      </w: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E8785E" w:rsidRPr="00AE0917" w:rsidRDefault="00E8785E" w:rsidP="00AE091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E8785E" w:rsidRPr="00AE0917" w:rsidRDefault="00E8785E" w:rsidP="00AE091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Kelemahan Organ Internal: Terutama paru-paru dan ginjal, yang memengaruhi kesehatan saluran pernapasan.  </w:t>
      </w:r>
    </w:p>
    <w:p w:rsidR="00E8785E" w:rsidRPr="00AE0917" w:rsidRDefault="00E8785E" w:rsidP="00AE0917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Makanan Tidak Sehat: Konsumsi makanan tinggi lemak, gula, dan rendah nutrisi dapat memperburuk kesehatan tenggorokan.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Suara serak atau hilangnya suara secara tiba-tiba.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Rasa sakit atau ketidaknyamanan di tenggorokan.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Kesulitan menelan (disfagia).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Batuk kering atau berdahak.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Sensasi tertekan di area leher atau dada.  </w:t>
      </w:r>
    </w:p>
    <w:p w:rsidR="00E8785E" w:rsidRPr="00AE0917" w:rsidRDefault="00E8785E" w:rsidP="00AE091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Demam ringan atau kelelahan (pada kasus infeksi).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E8785E" w:rsidRPr="00AE0917" w:rsidRDefault="00E8785E" w:rsidP="00AE091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Peradangan Jaringan: Infeksi atau iritasi menyebabkan pembengkakan pada pita suara dan jaringan laring.  </w:t>
      </w:r>
    </w:p>
    <w:p w:rsidR="00E8785E" w:rsidRPr="00AE0917" w:rsidRDefault="00E8785E" w:rsidP="00AE091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Gangguan Getaran Pita Suara: Pembengkakan menghambat getaran normal pita suara, menyebabkan suara serak atau hilangnya suara.  </w:t>
      </w:r>
    </w:p>
    <w:p w:rsidR="00E8785E" w:rsidRPr="00AE0917" w:rsidRDefault="00E8785E" w:rsidP="00AE0917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Komplikasi: Jika tidak ditangani, dapat menyebabkan infeksi sekunder, abses tenggorokan, atau kerusakan permanen pada pita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E8785E" w:rsidRPr="00AE0917" w:rsidRDefault="00E8785E" w:rsidP="00AE091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Profesi yang membutuhkan penggunaan suara intens: Guru, penyanyi, atau pembicara publik.  </w:t>
      </w:r>
    </w:p>
    <w:p w:rsidR="00E8785E" w:rsidRPr="00AE0917" w:rsidRDefault="00E8785E" w:rsidP="00AE091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Merokok atau paparan </w:t>
      </w:r>
      <w:proofErr w:type="gramStart"/>
      <w:r w:rsidRPr="00AE0917">
        <w:rPr>
          <w:rFonts w:ascii="Malgun Gothic" w:eastAsia="Malgun Gothic" w:hAnsi="Malgun Gothic"/>
        </w:rPr>
        <w:t>asap</w:t>
      </w:r>
      <w:proofErr w:type="gramEnd"/>
      <w:r w:rsidRPr="00AE0917">
        <w:rPr>
          <w:rFonts w:ascii="Malgun Gothic" w:eastAsia="Malgun Gothic" w:hAnsi="Malgun Gothic"/>
        </w:rPr>
        <w:t xml:space="preserve"> rokok.  </w:t>
      </w:r>
    </w:p>
    <w:p w:rsidR="00E8785E" w:rsidRPr="00AE0917" w:rsidRDefault="00E8785E" w:rsidP="00AE091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Riwayat refluks asam lambung (GERD).  </w:t>
      </w:r>
    </w:p>
    <w:p w:rsidR="00E8785E" w:rsidRPr="00AE0917" w:rsidRDefault="00E8785E" w:rsidP="00AE091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Alergi atau sinusitis kronis.  </w:t>
      </w:r>
    </w:p>
    <w:p w:rsidR="00E8785E" w:rsidRPr="00AE0917" w:rsidRDefault="00E8785E" w:rsidP="00AE0917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Sistem kekebalan tubuh lemah: Misalnya pada penderita diabetes atau HIV/AIDS.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Obat-Obatan:  </w:t>
      </w:r>
    </w:p>
    <w:p w:rsidR="00E8785E" w:rsidRPr="00AE0917" w:rsidRDefault="00E8785E" w:rsidP="00AE0917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Antibiotik: Jika laringitis disebabkan oleh infeksi bakteri.  </w:t>
      </w:r>
    </w:p>
    <w:p w:rsidR="00E8785E" w:rsidRPr="00AE0917" w:rsidRDefault="00E8785E" w:rsidP="00AE0917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Obat Anti-Inflamasi: Untuk mengurangi pembengkakan dan nyeri.  </w:t>
      </w:r>
    </w:p>
    <w:p w:rsidR="00E8785E" w:rsidRPr="00AE0917" w:rsidRDefault="00E8785E" w:rsidP="00AE0917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Obat Antirefluks: Mengatasi GERD jika menjadi penyebab utama.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Istirahatkan Suara:  </w:t>
      </w:r>
    </w:p>
    <w:p w:rsidR="00E8785E" w:rsidRPr="00AE0917" w:rsidRDefault="00E8785E" w:rsidP="00AE0917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Hindari berbicara atau berteriak untuk memberikan waktu pemulihan pada pita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Inhalasi Uap:  </w:t>
      </w:r>
    </w:p>
    <w:p w:rsidR="00E8785E" w:rsidRPr="00AE0917" w:rsidRDefault="00E8785E" w:rsidP="00AE0917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Menghirup uap air hangat untuk melegakan tenggorokan.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Operasi:  </w:t>
      </w:r>
    </w:p>
    <w:p w:rsidR="00E8785E" w:rsidRPr="00AE0917" w:rsidRDefault="00E8785E" w:rsidP="00AE0917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Prosedur bedah hanya diperlukan jika ada komplikasi seperti abses atau tumor.  </w:t>
      </w:r>
    </w:p>
    <w:p w:rsidR="00E8785E" w:rsidRPr="00AA199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A1997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E8785E" w:rsidRPr="00AE0917" w:rsidRDefault="00E8785E" w:rsidP="00AE091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Jahe: Diminum sebagai teh untuk mengurangi peradangan dan melegakan tenggorokan.  </w:t>
      </w:r>
    </w:p>
    <w:p w:rsidR="00E8785E" w:rsidRPr="00AE0917" w:rsidRDefault="00E8785E" w:rsidP="00AE091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Kunyit: Bersifat antioksidan dan anti-inflamasi, membantu melawan infeksi.  </w:t>
      </w:r>
    </w:p>
    <w:p w:rsidR="00E8785E" w:rsidRPr="00AE0917" w:rsidRDefault="00E8785E" w:rsidP="00AE091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Madu Murni: Dikonsumsi untuk meredakan iritasi tenggorokan dan meningkatkan daya tahan tubuh.  </w:t>
      </w:r>
    </w:p>
    <w:p w:rsidR="00E8785E" w:rsidRPr="00AE0917" w:rsidRDefault="00E8785E" w:rsidP="00AE091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lastRenderedPageBreak/>
        <w:t xml:space="preserve">Daun Mint: Direbus dan diminum untuk membantu melegakan saluran pernapasan.  </w:t>
      </w:r>
    </w:p>
    <w:p w:rsidR="00E8785E" w:rsidRPr="00AE0917" w:rsidRDefault="00E8785E" w:rsidP="00AE0917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Kayu Manis: Membantu mengurangi peradangan dan infeksi.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E8785E" w:rsidRPr="00AE0917" w:rsidRDefault="00E8785E" w:rsidP="00AE091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Titik Bekam: Area lokal di leher atau punggung untuk memperbaiki aliran darah dan mengurangi peradangan.  </w:t>
      </w:r>
    </w:p>
    <w:p w:rsidR="00E8785E" w:rsidRPr="00AE0917" w:rsidRDefault="00E8785E" w:rsidP="00AE0917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Frekuensi: Setiap 2 minggu sekali sesuai kondisi pasien.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AE0917" w:rsidRPr="00AE0917" w:rsidRDefault="00AE0917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E8785E" w:rsidRPr="00AE0917" w:rsidRDefault="00E8785E" w:rsidP="00AE091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Antioksidan Tinggi: Buah-buahan seperti jeruk, stroberi, apel, dan sayuran hijau.  </w:t>
      </w:r>
    </w:p>
    <w:p w:rsidR="00E8785E" w:rsidRPr="00AE0917" w:rsidRDefault="00E8785E" w:rsidP="00AE091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Omega-3: Ikan berlemak seperti salmon, sarden, dan tuna untuk mengurangi peradangan.  </w:t>
      </w:r>
    </w:p>
    <w:p w:rsidR="00E8785E" w:rsidRPr="00AE0917" w:rsidRDefault="00E8785E" w:rsidP="00AE091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E8785E" w:rsidRPr="00AE0917" w:rsidRDefault="00E8785E" w:rsidP="00AE091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Makanan Kaya Vitamin C: Jeruk, kiwi, dan paprika untuk memperkuat sistem kekebalan tubuh.  </w:t>
      </w:r>
    </w:p>
    <w:p w:rsidR="00E8785E" w:rsidRPr="00AE0917" w:rsidRDefault="00E8785E" w:rsidP="00AE0917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Sup Hangat: Kaldu ayam atau sup sayuran untuk melegakan tenggorokan.  </w:t>
      </w: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AE0917">
        <w:rPr>
          <w:rFonts w:ascii="Malgun Gothic" w:eastAsia="Malgun Gothic" w:hAnsi="Malgun Gothic"/>
          <w:b/>
          <w:bCs/>
        </w:rPr>
        <w:t xml:space="preserve">B. Makanan yang Harus Dihindari:  </w:t>
      </w:r>
    </w:p>
    <w:p w:rsidR="00E8785E" w:rsidRPr="00AE0917" w:rsidRDefault="00E8785E" w:rsidP="00AE0917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Makanan pedas: Dapat memperparah iritasi tenggorokan.  </w:t>
      </w:r>
    </w:p>
    <w:p w:rsidR="00E8785E" w:rsidRPr="00AE0917" w:rsidRDefault="00E8785E" w:rsidP="00AE0917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Makanan tinggi lemak: Gorengan, daging olahan, dan mentega.  </w:t>
      </w:r>
    </w:p>
    <w:p w:rsidR="00E8785E" w:rsidRPr="00AE0917" w:rsidRDefault="00E8785E" w:rsidP="00AE0917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Minuman dingin atau berkafein: Kopi, teh hitam, dan minuman bersoda.  </w:t>
      </w:r>
    </w:p>
    <w:p w:rsidR="00E8785E" w:rsidRPr="00AE0917" w:rsidRDefault="00E8785E" w:rsidP="00AE0917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Alkohol: Dapat mengiritasi tenggorokan dan memperburuk kondisi.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E8785E" w:rsidRPr="00AE0917" w:rsidRDefault="00E8785E" w:rsidP="00AE091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Hindari merokok dan paparan </w:t>
      </w:r>
      <w:proofErr w:type="gramStart"/>
      <w:r w:rsidRPr="00AE0917">
        <w:rPr>
          <w:rFonts w:ascii="Malgun Gothic" w:eastAsia="Malgun Gothic" w:hAnsi="Malgun Gothic"/>
        </w:rPr>
        <w:t>asap</w:t>
      </w:r>
      <w:proofErr w:type="gramEnd"/>
      <w:r w:rsidRPr="00AE0917">
        <w:rPr>
          <w:rFonts w:ascii="Malgun Gothic" w:eastAsia="Malgun Gothic" w:hAnsi="Malgun Gothic"/>
        </w:rPr>
        <w:t xml:space="preserve"> rokok.  </w:t>
      </w:r>
    </w:p>
    <w:p w:rsidR="00E8785E" w:rsidRPr="00AE0917" w:rsidRDefault="00E8785E" w:rsidP="00AE091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Gunakan humidifier untuk menjaga kelembapan udara di rumah.  </w:t>
      </w:r>
    </w:p>
    <w:p w:rsidR="00E8785E" w:rsidRPr="00AE0917" w:rsidRDefault="00E8785E" w:rsidP="00AE091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Kurangi penggunaan suara berlebihan dan istirahatkan pita suara.  </w:t>
      </w:r>
    </w:p>
    <w:p w:rsidR="00E8785E" w:rsidRPr="00AE0917" w:rsidRDefault="00E8785E" w:rsidP="00AE091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Kelola stres dengan teknik relaksasi seperti meditasi atau yoga.  </w:t>
      </w:r>
    </w:p>
    <w:p w:rsidR="00E8785E" w:rsidRPr="00AE0917" w:rsidRDefault="00E8785E" w:rsidP="00AE0917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Tidur yang cukup (7-8 jam per malam) untuk mendukung pemulihan tubuh.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E8785E" w:rsidRPr="00AE0917" w:rsidRDefault="00E8785E" w:rsidP="00AE091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Vitamin C: Mendukung sistem kekebalan tubuh dan mempercepat pemulihan.  </w:t>
      </w:r>
    </w:p>
    <w:p w:rsidR="00E8785E" w:rsidRPr="00AE0917" w:rsidRDefault="00E8785E" w:rsidP="00AE091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Zinc: Meningkatkan fungsi kekebalan tubuh dan membantu melawan infeksi.  </w:t>
      </w:r>
    </w:p>
    <w:p w:rsidR="00E8785E" w:rsidRPr="00AE0917" w:rsidRDefault="00E8785E" w:rsidP="00AE091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Omega-3: Mengurangi peradangan dan mendukung kesehatan tenggorokan.  </w:t>
      </w:r>
    </w:p>
    <w:p w:rsidR="00E8785E" w:rsidRPr="00AE0917" w:rsidRDefault="00E8785E" w:rsidP="00AE091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lastRenderedPageBreak/>
        <w:t xml:space="preserve">Probiotik: Meningkatkan kesehatan pencernaan dan mendukung detoksifikasi tubuh.  </w:t>
      </w:r>
    </w:p>
    <w:p w:rsidR="00E8785E" w:rsidRPr="00AE0917" w:rsidRDefault="00E8785E" w:rsidP="00AE0917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Echinacea: Herbal yang membantu memperkuat sistem kekebalan tubuh.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AE0917" w:rsidRDefault="00E8785E" w:rsidP="00E8785E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AE0917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E8785E" w:rsidRPr="00AE0917" w:rsidRDefault="00E8785E" w:rsidP="00AE0917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Hilangnya rasa sakit atau ketidaknyamanan di tenggorokan.  </w:t>
      </w:r>
    </w:p>
    <w:p w:rsidR="00E8785E" w:rsidRPr="00AE0917" w:rsidRDefault="00E8785E" w:rsidP="00AE0917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Pemulihan suara secara bertahap hingga normal.  </w:t>
      </w:r>
    </w:p>
    <w:p w:rsidR="00E8785E" w:rsidRPr="00AE0917" w:rsidRDefault="00E8785E" w:rsidP="00AE0917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Berkurangnya gejala seperti batuk atau kesulitan menelan.  </w:t>
      </w:r>
    </w:p>
    <w:p w:rsidR="00E8785E" w:rsidRPr="00AE0917" w:rsidRDefault="00E8785E" w:rsidP="00AE0917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Tidak ada tanda-tanda infeksi sekunder, seperti demam tinggi.  </w:t>
      </w:r>
    </w:p>
    <w:p w:rsidR="00E8785E" w:rsidRPr="00AE0917" w:rsidRDefault="00E8785E" w:rsidP="00AE0917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AE0917">
        <w:rPr>
          <w:rFonts w:ascii="Malgun Gothic" w:eastAsia="Malgun Gothic" w:hAnsi="Malgun Gothic"/>
        </w:rPr>
        <w:t xml:space="preserve">Peningkatan kualitas hidup secara keseluruhan.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Peradangan/Pembengkakan Kotak Suara (Laringitis)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meredakan peradangan di kotak suara, mengurangi pembengkakan jaringan, serta mendukung regenerasi sel mukosa laring.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inflamasi, perlindungan jaringan dari kerusakan oksidatif, dan peningkatan aliran darah ke area yang terkena.</w:t>
      </w:r>
      <w:proofErr w:type="gramEnd"/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Meredakan Peradangan dan Pembengkakan di Kotak Suara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Jaringan Mukosa Laring dari Kerusakan Oksidatif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Regenerasi Sel Mukosa Laring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Respirasi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NF-κB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menyebabkan pembengkakan dan iritasi di kotak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COX-2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   - Menghambat produksi prostaglandin yang menyebabkan nyeri dan inflamasi di laring.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Nrf2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Melindungi sel-sel mukosa laring dari kerusakan akibat stres oksidatif.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TRPV1 Receptor (Transient Receptor Potential Vanilloid 1):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sensitivitas saraf terhadap rangsangan nyeri atau iritasi di area laring.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untuk meningkatkan aliran darah ke kotak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inflamasi cenderung meningkat pada malam hari akibat penurunan aktivitas metabolisme tubuh.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regenerasi jaringan mukosa dan detoksifikasi alami tubuh lebih optimal pada pagi–siang hari.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jaringan, antiradang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Glycyrrhiza glabra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Glycyrrhizin              | Antiinflamasi, menenangkan tenggorokan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Curcuma longa (rimpang)    | 120 mg    | Kurkumin                  | Antiinflamasi, pelindung jaringan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Zingiber officinale (rimpang) | 120 mg | Gingerol, shogaol         | Meredakan nyeri, antiinflamasi   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Althaea officinalis (akar) | 120 mg    | Polysaccharides, mucilage | Melembapkan mukosa, pelindung jaringan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Curcuma longa: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kurkumin bekerja sinergis untuk mengurangi inflamasi dan melindungi jaringan mukosa laring dari kerusakan oksidatif.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Glycyrrhiza glabra + Althaea officinalis: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Glycyrrhizin dan polysaccharides melembapkan mukosa laring serta meredakan inflamasi dan iritasi di area kotak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Zingiber officinale + Nigella sativa: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Gingerol dan thymoquinone meredakan nyeri serta meningkatkan aliran darah ke area laring untuk mempercepat penyembuhan.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NF-κB &amp; COX-2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produksi prostaglandin dan inflamasi yang menyebabkan pembengkakan dan nyeri di kotak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Nitric Oxide (NO) Pathway: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vasodilatasi pembuluh darah untuk meningkatkan aliran darah ke kotak suara.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pernapasan untuk aktivitas harian dan mendukung detoksifikasi pagi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regenerasi jaringan setelah makan                          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pemulihan dan mengurangi inflamasi malam                  |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Dapat digunakan sebagai terapi tambahan untuk penderita laringitis ringan hingga sedang atau sebagai pencegahan bagi individu dengan risiko tinggi.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pelega tenggorokan atau antiradang tanpa konsultasi dokter.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minum air putih cukup, menghindari makanan pedas atau asam, dan menjaga kelembapan udara.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suara serak, nyeri tenggorokan, atau kesulitan bernapas tidak membaik, segera konsultasikan ke dokter.  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E8785E" w:rsidRPr="00B118E6" w:rsidRDefault="00E8785E" w:rsidP="00E8785E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penderita laringitis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(NF-κB, COX-2, Nrf2, TRPV1) dan ritme sirkadian membuat formula ini efektif dalam mengurangi inflamasi, melindungi jaringan mukosa, serta mendukung regenerasi sel kotak suara.</w:t>
      </w:r>
      <w:proofErr w:type="gramEnd"/>
    </w:p>
    <w:p w:rsidR="00B422D9" w:rsidRDefault="00B422D9"/>
    <w:sectPr w:rsidR="00B422D9" w:rsidSect="0014784C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293"/>
    <w:multiLevelType w:val="hybridMultilevel"/>
    <w:tmpl w:val="6A5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84AF1"/>
    <w:multiLevelType w:val="hybridMultilevel"/>
    <w:tmpl w:val="6C8E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35B40"/>
    <w:multiLevelType w:val="hybridMultilevel"/>
    <w:tmpl w:val="E882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1210D"/>
    <w:multiLevelType w:val="hybridMultilevel"/>
    <w:tmpl w:val="44FA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95E81"/>
    <w:multiLevelType w:val="hybridMultilevel"/>
    <w:tmpl w:val="A49C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339C8"/>
    <w:multiLevelType w:val="hybridMultilevel"/>
    <w:tmpl w:val="BD308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D2DC4"/>
    <w:multiLevelType w:val="hybridMultilevel"/>
    <w:tmpl w:val="05F2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12CC1"/>
    <w:multiLevelType w:val="hybridMultilevel"/>
    <w:tmpl w:val="6D34D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EC64B5"/>
    <w:multiLevelType w:val="hybridMultilevel"/>
    <w:tmpl w:val="3C5ABDA4"/>
    <w:lvl w:ilvl="0" w:tplc="E36660C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E45EE"/>
    <w:multiLevelType w:val="hybridMultilevel"/>
    <w:tmpl w:val="03902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680032"/>
    <w:multiLevelType w:val="hybridMultilevel"/>
    <w:tmpl w:val="70E46D2A"/>
    <w:lvl w:ilvl="0" w:tplc="EC5873A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35E05"/>
    <w:multiLevelType w:val="hybridMultilevel"/>
    <w:tmpl w:val="8456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F2DA0"/>
    <w:multiLevelType w:val="hybridMultilevel"/>
    <w:tmpl w:val="BA46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1B70F6"/>
    <w:multiLevelType w:val="hybridMultilevel"/>
    <w:tmpl w:val="71FAF6E2"/>
    <w:lvl w:ilvl="0" w:tplc="45B2165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26B8A"/>
    <w:multiLevelType w:val="hybridMultilevel"/>
    <w:tmpl w:val="A45CD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38233D"/>
    <w:multiLevelType w:val="hybridMultilevel"/>
    <w:tmpl w:val="275C5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140835"/>
    <w:multiLevelType w:val="hybridMultilevel"/>
    <w:tmpl w:val="F874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017EB5"/>
    <w:multiLevelType w:val="hybridMultilevel"/>
    <w:tmpl w:val="8E4E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AC4A09"/>
    <w:multiLevelType w:val="hybridMultilevel"/>
    <w:tmpl w:val="1E2E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87DCA"/>
    <w:multiLevelType w:val="hybridMultilevel"/>
    <w:tmpl w:val="00D8A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6573"/>
    <w:multiLevelType w:val="hybridMultilevel"/>
    <w:tmpl w:val="946A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240B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F860B3"/>
    <w:multiLevelType w:val="hybridMultilevel"/>
    <w:tmpl w:val="1314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7B7B23"/>
    <w:multiLevelType w:val="hybridMultilevel"/>
    <w:tmpl w:val="913A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1063E1"/>
    <w:multiLevelType w:val="hybridMultilevel"/>
    <w:tmpl w:val="0800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6E5D74"/>
    <w:multiLevelType w:val="hybridMultilevel"/>
    <w:tmpl w:val="ED1E2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6C6D91"/>
    <w:multiLevelType w:val="hybridMultilevel"/>
    <w:tmpl w:val="56E2A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D268EE"/>
    <w:multiLevelType w:val="hybridMultilevel"/>
    <w:tmpl w:val="8EAE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3"/>
  </w:num>
  <w:num w:numId="5">
    <w:abstractNumId w:val="20"/>
  </w:num>
  <w:num w:numId="6">
    <w:abstractNumId w:val="10"/>
  </w:num>
  <w:num w:numId="7">
    <w:abstractNumId w:val="11"/>
  </w:num>
  <w:num w:numId="8">
    <w:abstractNumId w:val="9"/>
  </w:num>
  <w:num w:numId="9">
    <w:abstractNumId w:val="17"/>
  </w:num>
  <w:num w:numId="10">
    <w:abstractNumId w:val="26"/>
  </w:num>
  <w:num w:numId="11">
    <w:abstractNumId w:val="19"/>
  </w:num>
  <w:num w:numId="12">
    <w:abstractNumId w:val="2"/>
  </w:num>
  <w:num w:numId="13">
    <w:abstractNumId w:val="12"/>
  </w:num>
  <w:num w:numId="14">
    <w:abstractNumId w:val="21"/>
  </w:num>
  <w:num w:numId="15">
    <w:abstractNumId w:val="0"/>
  </w:num>
  <w:num w:numId="16">
    <w:abstractNumId w:val="25"/>
  </w:num>
  <w:num w:numId="17">
    <w:abstractNumId w:val="1"/>
  </w:num>
  <w:num w:numId="18">
    <w:abstractNumId w:val="14"/>
  </w:num>
  <w:num w:numId="19">
    <w:abstractNumId w:val="7"/>
  </w:num>
  <w:num w:numId="20">
    <w:abstractNumId w:val="6"/>
  </w:num>
  <w:num w:numId="21">
    <w:abstractNumId w:val="22"/>
  </w:num>
  <w:num w:numId="22">
    <w:abstractNumId w:val="4"/>
  </w:num>
  <w:num w:numId="23">
    <w:abstractNumId w:val="24"/>
  </w:num>
  <w:num w:numId="24">
    <w:abstractNumId w:val="23"/>
  </w:num>
  <w:num w:numId="25">
    <w:abstractNumId w:val="5"/>
  </w:num>
  <w:num w:numId="26">
    <w:abstractNumId w:val="3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8785E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4784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440BB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25B2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A1997"/>
    <w:rsid w:val="00AB2534"/>
    <w:rsid w:val="00AB2B54"/>
    <w:rsid w:val="00AB6ED6"/>
    <w:rsid w:val="00AC336B"/>
    <w:rsid w:val="00AC50E0"/>
    <w:rsid w:val="00AC6060"/>
    <w:rsid w:val="00AC71E9"/>
    <w:rsid w:val="00AD598C"/>
    <w:rsid w:val="00AE0917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3661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8785E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9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6</cp:revision>
  <dcterms:created xsi:type="dcterms:W3CDTF">2025-05-20T04:35:00Z</dcterms:created>
  <dcterms:modified xsi:type="dcterms:W3CDTF">2025-05-27T14:17:00Z</dcterms:modified>
</cp:coreProperties>
</file>