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9F9" w:rsidRPr="00E5715A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E5715A">
        <w:rPr>
          <w:rFonts w:ascii="Malgun Gothic" w:eastAsia="Malgun Gothic" w:hAnsi="Malgun Gothic"/>
          <w:b/>
          <w:bCs/>
          <w:sz w:val="28"/>
          <w:szCs w:val="28"/>
        </w:rPr>
        <w:t xml:space="preserve">SULIT BERBICARA (AFASIA/DYSARTHRIA)  </w:t>
      </w:r>
    </w:p>
    <w:p w:rsidR="006469F9" w:rsidRPr="00B118E6" w:rsidRDefault="00E5715A" w:rsidP="00E5715A">
      <w:pPr>
        <w:spacing w:after="0" w:line="240" w:lineRule="auto"/>
        <w:jc w:val="both"/>
        <w:rPr>
          <w:rFonts w:ascii="Malgun Gothic" w:eastAsia="Malgun Gothic" w:hAnsi="Malgun Gothic"/>
        </w:rPr>
      </w:pPr>
      <w:proofErr w:type="gramStart"/>
      <w:r>
        <w:rPr>
          <w:rFonts w:ascii="Malgun Gothic" w:eastAsia="Malgun Gothic" w:hAnsi="Malgun Gothic"/>
        </w:rPr>
        <w:t>A</w:t>
      </w:r>
      <w:r w:rsidR="006469F9" w:rsidRPr="00B118E6">
        <w:rPr>
          <w:rFonts w:ascii="Malgun Gothic" w:eastAsia="Malgun Gothic" w:hAnsi="Malgun Gothic"/>
        </w:rPr>
        <w:t>dalah kondisi di mana seseorang mengalami gangguan dalam kemampuan berbicara atau mengungkapkan pikiran secara verba</w:t>
      </w:r>
      <w:r>
        <w:rPr>
          <w:rFonts w:ascii="Malgun Gothic" w:eastAsia="Malgun Gothic" w:hAnsi="Malgun Gothic"/>
        </w:rPr>
        <w:t>l.</w:t>
      </w:r>
      <w:proofErr w:type="gramEnd"/>
      <w:r>
        <w:rPr>
          <w:rFonts w:ascii="Malgun Gothic" w:eastAsia="Malgun Gothic" w:hAnsi="Malgun Gothic"/>
        </w:rPr>
        <w:t xml:space="preserve"> </w:t>
      </w:r>
      <w:proofErr w:type="gramStart"/>
      <w:r>
        <w:rPr>
          <w:rFonts w:ascii="Malgun Gothic" w:eastAsia="Malgun Gothic" w:hAnsi="Malgun Gothic"/>
        </w:rPr>
        <w:t xml:space="preserve">Kondisi ini dapat disebabkan </w:t>
      </w:r>
      <w:r w:rsidR="006469F9" w:rsidRPr="00B118E6">
        <w:rPr>
          <w:rFonts w:ascii="Malgun Gothic" w:eastAsia="Malgun Gothic" w:hAnsi="Malgun Gothic"/>
        </w:rPr>
        <w:t xml:space="preserve">oleh kerusakan pada area otak yang mengatur bahasa </w:t>
      </w:r>
      <w:r>
        <w:rPr>
          <w:rFonts w:ascii="Malgun Gothic" w:eastAsia="Malgun Gothic" w:hAnsi="Malgun Gothic"/>
        </w:rPr>
        <w:t>&amp;</w:t>
      </w:r>
      <w:r w:rsidR="006469F9" w:rsidRPr="00B118E6">
        <w:rPr>
          <w:rFonts w:ascii="Malgun Gothic" w:eastAsia="Malgun Gothic" w:hAnsi="Malgun Gothic"/>
        </w:rPr>
        <w:t xml:space="preserve"> bicara, seperti pada kasus stroke, cedera kepala, atau penyakit neurologis lainnya.</w:t>
      </w:r>
      <w:proofErr w:type="gramEnd"/>
      <w:r w:rsidR="006469F9" w:rsidRPr="00B118E6">
        <w:rPr>
          <w:rFonts w:ascii="Malgun Gothic" w:eastAsia="Malgun Gothic" w:hAnsi="Malgun Gothic"/>
        </w:rPr>
        <w:t xml:space="preserve"> </w:t>
      </w:r>
      <w:proofErr w:type="gramStart"/>
      <w:r w:rsidR="006469F9" w:rsidRPr="00B118E6">
        <w:rPr>
          <w:rFonts w:ascii="Malgun Gothic" w:eastAsia="Malgun Gothic" w:hAnsi="Malgun Gothic"/>
        </w:rPr>
        <w:t>Sulit berbicara dapat mem</w:t>
      </w:r>
      <w:r>
        <w:rPr>
          <w:rFonts w:ascii="Malgun Gothic" w:eastAsia="Malgun Gothic" w:hAnsi="Malgun Gothic"/>
        </w:rPr>
        <w:t>p</w:t>
      </w:r>
      <w:r w:rsidR="006469F9" w:rsidRPr="00B118E6">
        <w:rPr>
          <w:rFonts w:ascii="Malgun Gothic" w:eastAsia="Malgun Gothic" w:hAnsi="Malgun Gothic"/>
        </w:rPr>
        <w:t xml:space="preserve">engaruhi kualitas hidup, komunikasi, </w:t>
      </w:r>
      <w:r>
        <w:rPr>
          <w:rFonts w:ascii="Malgun Gothic" w:eastAsia="Malgun Gothic" w:hAnsi="Malgun Gothic"/>
        </w:rPr>
        <w:t>&amp;</w:t>
      </w:r>
      <w:r w:rsidR="006469F9" w:rsidRPr="00B118E6">
        <w:rPr>
          <w:rFonts w:ascii="Malgun Gothic" w:eastAsia="Malgun Gothic" w:hAnsi="Malgun Gothic"/>
        </w:rPr>
        <w:t xml:space="preserve"> hubungan sosial penderitanya.</w:t>
      </w:r>
      <w:proofErr w:type="gramEnd"/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E5715A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5715A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6469F9" w:rsidRPr="00E5715A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5715A">
        <w:rPr>
          <w:rFonts w:ascii="Malgun Gothic" w:eastAsia="Malgun Gothic" w:hAnsi="Malgun Gothic"/>
          <w:b/>
          <w:bCs/>
          <w:sz w:val="24"/>
          <w:szCs w:val="24"/>
        </w:rPr>
        <w:t xml:space="preserve">A. Faktor Medis Modern:  </w:t>
      </w:r>
    </w:p>
    <w:p w:rsidR="006469F9" w:rsidRPr="00E5715A" w:rsidRDefault="006469F9" w:rsidP="00E5715A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Stroke: Kerusakan pada area otak yang mengatur bicara akibat aliran darah ke otak terganggu.  </w:t>
      </w:r>
    </w:p>
    <w:p w:rsidR="006469F9" w:rsidRPr="00E5715A" w:rsidRDefault="006469F9" w:rsidP="00E5715A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Cedera Otak Traumatis: Trauma fisik pada otak dapat merusak pusat bicara.  </w:t>
      </w:r>
    </w:p>
    <w:p w:rsidR="006469F9" w:rsidRPr="00E5715A" w:rsidRDefault="006469F9" w:rsidP="00E5715A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Penyakit Neurologis: Penyakit seperti Parkinson, multiple sclerosis, atau ALS (amyotrophic lateral sclerosis).  </w:t>
      </w:r>
    </w:p>
    <w:p w:rsidR="006469F9" w:rsidRPr="00E5715A" w:rsidRDefault="006469F9" w:rsidP="00E5715A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Tumor Otak: Pertumbuhan tumor dapat menekan area otak yang mengatur bicara.  </w:t>
      </w:r>
    </w:p>
    <w:p w:rsidR="006469F9" w:rsidRPr="00E5715A" w:rsidRDefault="006469F9" w:rsidP="00E5715A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Infeksi Otak: Ensefalitis atau meningitis dapat menyebabkan kerusakan saraf.  </w:t>
      </w:r>
    </w:p>
    <w:p w:rsidR="006469F9" w:rsidRPr="00E5715A" w:rsidRDefault="006469F9" w:rsidP="00E5715A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Gangguan Psikologis: Stres berat, kecemasan, atau trauma psikologis dapat menyebabkan gangguan bicara fungsional.  </w:t>
      </w:r>
    </w:p>
    <w:p w:rsidR="006469F9" w:rsidRPr="00E5715A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5715A">
        <w:rPr>
          <w:rFonts w:ascii="Malgun Gothic" w:eastAsia="Malgun Gothic" w:hAnsi="Malgun Gothic"/>
          <w:b/>
          <w:bCs/>
          <w:sz w:val="24"/>
          <w:szCs w:val="24"/>
        </w:rPr>
        <w:t xml:space="preserve">B. Faktor Herbal &amp; Thibb An-Nabawi:  </w:t>
      </w:r>
    </w:p>
    <w:p w:rsidR="006469F9" w:rsidRPr="00E5715A" w:rsidRDefault="006469F9" w:rsidP="00E5715A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Akumulasi Racun Tubuh: Disebabkan oleh konsumsi makanan tidak sehat atau kurang detoksifikasi.  </w:t>
      </w:r>
    </w:p>
    <w:p w:rsidR="006469F9" w:rsidRPr="00E5715A" w:rsidRDefault="006469F9" w:rsidP="00E5715A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Kelemahan Organ Internal: Terutama otak, hati, dan ginjal yang tidak bekerja secara optimal.  </w:t>
      </w:r>
    </w:p>
    <w:p w:rsidR="006469F9" w:rsidRPr="00E5715A" w:rsidRDefault="006469F9" w:rsidP="00E5715A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Makanan Tidak Sehat: Konsumsi makanan gorengan, olahan, dan tinggi gula dapat memperburuk fungsi otak.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E5715A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5715A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6469F9" w:rsidRPr="00E5715A" w:rsidRDefault="006469F9" w:rsidP="00E571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Kesulitan mengucapkan kata-kata dengan jelas (dysarthria).  </w:t>
      </w:r>
    </w:p>
    <w:p w:rsidR="006469F9" w:rsidRPr="00E5715A" w:rsidRDefault="006469F9" w:rsidP="00E571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Sulit memahami atau merangkai kalimat (afasia reseptif/ekspressif).  </w:t>
      </w:r>
    </w:p>
    <w:p w:rsidR="006469F9" w:rsidRPr="00E5715A" w:rsidRDefault="006469F9" w:rsidP="00E571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Suara terdengar tidak jelas, lemah, atau tersendat-sendat.  </w:t>
      </w:r>
    </w:p>
    <w:p w:rsidR="006469F9" w:rsidRPr="00E5715A" w:rsidRDefault="006469F9" w:rsidP="00E571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Kesulitan menemukan kata yang tepat saat berbicara.  </w:t>
      </w:r>
    </w:p>
    <w:p w:rsidR="006469F9" w:rsidRPr="00E5715A" w:rsidRDefault="006469F9" w:rsidP="00E571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Gangguan artikulasi karena kelemahan otot wajah atau lidah.  </w:t>
      </w:r>
    </w:p>
    <w:p w:rsidR="006469F9" w:rsidRPr="00E5715A" w:rsidRDefault="006469F9" w:rsidP="00E5715A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Pada kasus berat: Ketidakmampuan berbicara </w:t>
      </w:r>
      <w:proofErr w:type="gramStart"/>
      <w:r w:rsidRPr="00E5715A">
        <w:rPr>
          <w:rFonts w:ascii="Malgun Gothic" w:eastAsia="Malgun Gothic" w:hAnsi="Malgun Gothic"/>
        </w:rPr>
        <w:t>sama</w:t>
      </w:r>
      <w:proofErr w:type="gramEnd"/>
      <w:r w:rsidRPr="00E5715A">
        <w:rPr>
          <w:rFonts w:ascii="Malgun Gothic" w:eastAsia="Malgun Gothic" w:hAnsi="Malgun Gothic"/>
        </w:rPr>
        <w:t xml:space="preserve"> sekali (mutisme).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E5715A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5715A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MEKANISME PENYAKIT  </w:t>
      </w:r>
    </w:p>
    <w:p w:rsidR="006469F9" w:rsidRPr="00E5715A" w:rsidRDefault="006469F9" w:rsidP="00E5715A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Kerusakan Area Bahasa Otak: Afasia disebabkan oleh kerusakan pada lobus frontal atau temporal otak yang mengatur bahasa.  </w:t>
      </w:r>
    </w:p>
    <w:p w:rsidR="006469F9" w:rsidRPr="00E5715A" w:rsidRDefault="006469F9" w:rsidP="00E5715A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Gangguan Koordinasi Otot: Dysarthria terjadi akibat kelemahan atau ketidakseimbangan otot yang digunakan untuk berbicara.  </w:t>
      </w:r>
    </w:p>
    <w:p w:rsidR="006469F9" w:rsidRPr="00E5715A" w:rsidRDefault="006469F9" w:rsidP="00E5715A">
      <w:pPr>
        <w:pStyle w:val="ListParagraph"/>
        <w:numPr>
          <w:ilvl w:val="1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Komplikasi: Jika tidak ditangani, dapat menyebabkan isolasi sosial, depresi, atau penurunan kualitas hidup.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E5715A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E5715A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6469F9" w:rsidRPr="00E5715A" w:rsidRDefault="006469F9" w:rsidP="00E5715A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Riwayat stroke atau cedera kepala.  </w:t>
      </w:r>
    </w:p>
    <w:p w:rsidR="006469F9" w:rsidRPr="00E5715A" w:rsidRDefault="006469F9" w:rsidP="00E5715A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gramStart"/>
      <w:r w:rsidRPr="00E5715A">
        <w:rPr>
          <w:rFonts w:ascii="Malgun Gothic" w:eastAsia="Malgun Gothic" w:hAnsi="Malgun Gothic"/>
        </w:rPr>
        <w:t>Usia</w:t>
      </w:r>
      <w:proofErr w:type="gramEnd"/>
      <w:r w:rsidRPr="00E5715A">
        <w:rPr>
          <w:rFonts w:ascii="Malgun Gothic" w:eastAsia="Malgun Gothic" w:hAnsi="Malgun Gothic"/>
        </w:rPr>
        <w:t xml:space="preserve"> lanjut (di atas 50 tahun).  </w:t>
      </w:r>
    </w:p>
    <w:p w:rsidR="006469F9" w:rsidRPr="00E5715A" w:rsidRDefault="006469F9" w:rsidP="00E5715A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Penyakit neurologis seperti Parkinson atau Alzheimer.  </w:t>
      </w:r>
    </w:p>
    <w:p w:rsidR="006469F9" w:rsidRPr="00E5715A" w:rsidRDefault="006469F9" w:rsidP="00E5715A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Hipertensi atau diabetes melitus yang tidak terkontrol.  </w:t>
      </w:r>
    </w:p>
    <w:p w:rsidR="006469F9" w:rsidRPr="00E5715A" w:rsidRDefault="006469F9" w:rsidP="00E5715A">
      <w:pPr>
        <w:pStyle w:val="ListParagraph"/>
        <w:numPr>
          <w:ilvl w:val="1"/>
          <w:numId w:val="10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Gaya hidup tidak sehat: Merokok, pola makan buruk, dan kurang aktivitas fisik.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030D2F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30D2F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6469F9" w:rsidRPr="00030D2F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30D2F">
        <w:rPr>
          <w:rFonts w:ascii="Malgun Gothic" w:eastAsia="Malgun Gothic" w:hAnsi="Malgun Gothic"/>
          <w:b/>
          <w:bCs/>
          <w:sz w:val="24"/>
          <w:szCs w:val="24"/>
        </w:rPr>
        <w:t xml:space="preserve">A. Pengobatan Medis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Terapi Wicara (Speech Therapy):  </w:t>
      </w:r>
    </w:p>
    <w:p w:rsidR="006469F9" w:rsidRPr="00E5715A" w:rsidRDefault="006469F9" w:rsidP="00E5715A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Latihan artikulasi untuk memperbaiki pengucapan kata.  </w:t>
      </w:r>
    </w:p>
    <w:p w:rsidR="006469F9" w:rsidRPr="00E5715A" w:rsidRDefault="006469F9" w:rsidP="00E5715A">
      <w:pPr>
        <w:pStyle w:val="ListParagraph"/>
        <w:numPr>
          <w:ilvl w:val="1"/>
          <w:numId w:val="12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Pelatihan bahasa untuk membantu pemahaman dan ekspresi verbal.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Obat-Obatan:  </w:t>
      </w:r>
    </w:p>
    <w:p w:rsidR="006469F9" w:rsidRPr="00E5715A" w:rsidRDefault="006469F9" w:rsidP="00E5715A">
      <w:pPr>
        <w:pStyle w:val="ListParagraph"/>
        <w:numPr>
          <w:ilvl w:val="0"/>
          <w:numId w:val="13"/>
        </w:numPr>
        <w:spacing w:after="0" w:line="240" w:lineRule="auto"/>
        <w:ind w:left="567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Obat untuk mengatasi penyebab dasar, seperti antikoagulan untuk stroke atau obat Parkinson.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Operasi:  </w:t>
      </w:r>
    </w:p>
    <w:p w:rsidR="006469F9" w:rsidRPr="00605257" w:rsidRDefault="006469F9" w:rsidP="00605257">
      <w:pPr>
        <w:pStyle w:val="ListParagraph"/>
        <w:numPr>
          <w:ilvl w:val="0"/>
          <w:numId w:val="13"/>
        </w:numPr>
        <w:spacing w:after="0" w:line="240" w:lineRule="auto"/>
        <w:rPr>
          <w:rFonts w:ascii="Malgun Gothic" w:eastAsia="Malgun Gothic" w:hAnsi="Malgun Gothic"/>
        </w:rPr>
      </w:pPr>
      <w:r w:rsidRPr="00605257">
        <w:rPr>
          <w:rFonts w:ascii="Malgun Gothic" w:eastAsia="Malgun Gothic" w:hAnsi="Malgun Gothic"/>
        </w:rPr>
        <w:t xml:space="preserve">Mengangkat tumor otak jika menjadi penyebab gangguan bicara.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Rehabilitasi Neurologis:  </w:t>
      </w:r>
    </w:p>
    <w:p w:rsidR="006469F9" w:rsidRPr="00605257" w:rsidRDefault="006469F9" w:rsidP="00605257">
      <w:pPr>
        <w:pStyle w:val="ListParagraph"/>
        <w:numPr>
          <w:ilvl w:val="0"/>
          <w:numId w:val="13"/>
        </w:numPr>
        <w:spacing w:after="0" w:line="240" w:lineRule="auto"/>
        <w:rPr>
          <w:rFonts w:ascii="Malgun Gothic" w:eastAsia="Malgun Gothic" w:hAnsi="Malgun Gothic"/>
        </w:rPr>
      </w:pPr>
      <w:r w:rsidRPr="00605257">
        <w:rPr>
          <w:rFonts w:ascii="Malgun Gothic" w:eastAsia="Malgun Gothic" w:hAnsi="Malgun Gothic"/>
        </w:rPr>
        <w:t xml:space="preserve">Latihan fisik dan mental untuk memperbaiki fungsi otak dan otot.  </w:t>
      </w:r>
    </w:p>
    <w:p w:rsidR="006469F9" w:rsidRPr="00030D2F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030D2F">
        <w:rPr>
          <w:rFonts w:ascii="Malgun Gothic" w:eastAsia="Malgun Gothic" w:hAnsi="Malgun Gothic"/>
          <w:b/>
          <w:bCs/>
          <w:sz w:val="24"/>
          <w:szCs w:val="24"/>
        </w:rPr>
        <w:t xml:space="preserve">B. Pengobatan Herbal &amp; Thibb An-Nabawi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Ramuan:  </w:t>
      </w:r>
    </w:p>
    <w:p w:rsidR="006469F9" w:rsidRPr="00E5715A" w:rsidRDefault="006469F9" w:rsidP="00E5715A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Jahe: Diminum sebagai teh untuk membantu melancarkan sirkulasi darah ke otak.  </w:t>
      </w:r>
    </w:p>
    <w:p w:rsidR="006469F9" w:rsidRPr="00E5715A" w:rsidRDefault="006469F9" w:rsidP="00E5715A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Kunyit: Bersifat anti-inflamasi dan membantu detoksifikasi tubuh.  </w:t>
      </w:r>
    </w:p>
    <w:p w:rsidR="006469F9" w:rsidRPr="00E5715A" w:rsidRDefault="006469F9" w:rsidP="00E5715A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Daun Sirih: Direbus dan diminum untuk membantu meredakan stres dan memperbaiki fungsi saraf.  </w:t>
      </w:r>
    </w:p>
    <w:p w:rsidR="006469F9" w:rsidRPr="00E5715A" w:rsidRDefault="006469F9" w:rsidP="00E5715A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Madu Murni: Dikonsumsi untuk mendukung regenerasi sel otak dan sistem saraf.  </w:t>
      </w:r>
    </w:p>
    <w:p w:rsidR="006469F9" w:rsidRPr="00E5715A" w:rsidRDefault="006469F9" w:rsidP="00E5715A">
      <w:pPr>
        <w:pStyle w:val="ListParagraph"/>
        <w:numPr>
          <w:ilvl w:val="1"/>
          <w:numId w:val="15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Kayu Manis: Membantu meningkatkan aliran darah ke otak.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Terapi Bekam (Hijamah):  </w:t>
      </w:r>
    </w:p>
    <w:p w:rsidR="006469F9" w:rsidRPr="00E5715A" w:rsidRDefault="006469F9" w:rsidP="00E5715A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lastRenderedPageBreak/>
        <w:t xml:space="preserve">Titik Bekam: Area lokal di kepala, leher, atau pundak untuk memperbaiki aliran darah dan detoksifikasi.  </w:t>
      </w:r>
    </w:p>
    <w:p w:rsidR="006469F9" w:rsidRPr="00E5715A" w:rsidRDefault="006469F9" w:rsidP="00E5715A">
      <w:pPr>
        <w:pStyle w:val="ListParagraph"/>
        <w:numPr>
          <w:ilvl w:val="1"/>
          <w:numId w:val="1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E5715A">
        <w:rPr>
          <w:rFonts w:ascii="Malgun Gothic" w:eastAsia="Malgun Gothic" w:hAnsi="Malgun Gothic"/>
        </w:rPr>
        <w:t xml:space="preserve">Frekuensi: Setiap 2 minggu sekali sesuai kondisi pasien.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Konsumsi Talbinah (Bubur Gandum): Membantu menenangkan saraf dan menjaga kesehatan pencernaan.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741EFF" w:rsidRDefault="006469F9" w:rsidP="006469F9">
      <w:pPr>
        <w:spacing w:after="0" w:line="240" w:lineRule="auto"/>
        <w:rPr>
          <w:rFonts w:ascii="Malgun Gothic" w:eastAsia="Malgun Gothic" w:hAnsi="Malgun Gothic"/>
          <w:sz w:val="24"/>
          <w:szCs w:val="24"/>
        </w:rPr>
      </w:pPr>
      <w:r w:rsidRPr="00741EFF">
        <w:rPr>
          <w:rFonts w:ascii="Malgun Gothic" w:eastAsia="Malgun Gothic" w:hAnsi="Malgun Gothic"/>
          <w:sz w:val="24"/>
          <w:szCs w:val="24"/>
        </w:rPr>
        <w:t>REKOMENDASI DIET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A. Makanan yang Disarankan:  </w:t>
      </w:r>
    </w:p>
    <w:p w:rsidR="006469F9" w:rsidRPr="00741EFF" w:rsidRDefault="006469F9" w:rsidP="00741EFF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Anti-Inflamasi: Kunyit, jahe, bawang putih.  </w:t>
      </w:r>
    </w:p>
    <w:p w:rsidR="006469F9" w:rsidRPr="00741EFF" w:rsidRDefault="006469F9" w:rsidP="00741EFF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Probiotik Alami: Yogurt, </w:t>
      </w:r>
      <w:proofErr w:type="gramStart"/>
      <w:r w:rsidRPr="00741EFF">
        <w:rPr>
          <w:rFonts w:ascii="Malgun Gothic" w:eastAsia="Malgun Gothic" w:hAnsi="Malgun Gothic"/>
        </w:rPr>
        <w:t>tempe</w:t>
      </w:r>
      <w:proofErr w:type="gramEnd"/>
      <w:r w:rsidRPr="00741EFF">
        <w:rPr>
          <w:rFonts w:ascii="Malgun Gothic" w:eastAsia="Malgun Gothic" w:hAnsi="Malgun Gothic"/>
        </w:rPr>
        <w:t xml:space="preserve">, dan kimchi untuk mendukung kesehatan usus.  </w:t>
      </w:r>
    </w:p>
    <w:p w:rsidR="006469F9" w:rsidRPr="00741EFF" w:rsidRDefault="006469F9" w:rsidP="00741EFF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Buah-Buahan Segar: Apel, jeruk, stroberi, dan pisang.  </w:t>
      </w:r>
    </w:p>
    <w:p w:rsidR="006469F9" w:rsidRPr="00741EFF" w:rsidRDefault="006469F9" w:rsidP="00741EFF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Sayuran Hijau: Bayam, brokoli, kangkung, dan sayuran hijau lainnya.  </w:t>
      </w:r>
    </w:p>
    <w:p w:rsidR="006469F9" w:rsidRPr="00741EFF" w:rsidRDefault="006469F9" w:rsidP="00741EFF">
      <w:pPr>
        <w:pStyle w:val="ListParagraph"/>
        <w:numPr>
          <w:ilvl w:val="1"/>
          <w:numId w:val="19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Air Putih: Untuk menjaga hidrasi tubuh dan mendukung detoksifikasi.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B. Makanan yang Harus Dihindari:  </w:t>
      </w:r>
    </w:p>
    <w:p w:rsidR="006469F9" w:rsidRPr="00741EFF" w:rsidRDefault="006469F9" w:rsidP="00741EFF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Makanan tinggi gula: Permen, kue, minuman </w:t>
      </w:r>
      <w:proofErr w:type="gramStart"/>
      <w:r w:rsidRPr="00741EFF">
        <w:rPr>
          <w:rFonts w:ascii="Malgun Gothic" w:eastAsia="Malgun Gothic" w:hAnsi="Malgun Gothic"/>
        </w:rPr>
        <w:t>manis</w:t>
      </w:r>
      <w:proofErr w:type="gramEnd"/>
      <w:r w:rsidRPr="00741EFF">
        <w:rPr>
          <w:rFonts w:ascii="Malgun Gothic" w:eastAsia="Malgun Gothic" w:hAnsi="Malgun Gothic"/>
        </w:rPr>
        <w:t xml:space="preserve">.  </w:t>
      </w:r>
    </w:p>
    <w:p w:rsidR="006469F9" w:rsidRPr="00741EFF" w:rsidRDefault="006469F9" w:rsidP="00741EFF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Makanan olahan: Keripik, makanan kaleng, dan camilan asin.  </w:t>
      </w:r>
    </w:p>
    <w:p w:rsidR="006469F9" w:rsidRPr="00741EFF" w:rsidRDefault="006469F9" w:rsidP="00741EFF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Makanan berbahan kimia: Pewarna, perasa, atau pengawet buatan.  </w:t>
      </w:r>
    </w:p>
    <w:p w:rsidR="006469F9" w:rsidRPr="00741EFF" w:rsidRDefault="006469F9" w:rsidP="00741EFF">
      <w:pPr>
        <w:pStyle w:val="ListParagraph"/>
        <w:numPr>
          <w:ilvl w:val="1"/>
          <w:numId w:val="21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Makanan gorengan: Keripik, gorengan, dan makanan cepat saji.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741EFF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41EFF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6469F9" w:rsidRPr="00741EFF" w:rsidRDefault="006469F9" w:rsidP="00741EFF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Hindari stres berlebih dengan meditasi, dzikir, atau teknik relaksasi lainnya.  </w:t>
      </w:r>
    </w:p>
    <w:p w:rsidR="006469F9" w:rsidRPr="00741EFF" w:rsidRDefault="006469F9" w:rsidP="00741EFF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Tidur yang cukup (7-8 jam per malam) untuk menjaga keseimbangan hormon.  </w:t>
      </w:r>
    </w:p>
    <w:p w:rsidR="006469F9" w:rsidRPr="00741EFF" w:rsidRDefault="006469F9" w:rsidP="00741EFF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Lakukan aktivitas fisik minimal 30 menit setiap hari, seperti berjalan kaki, yoga, atau bersepeda.  </w:t>
      </w:r>
    </w:p>
    <w:p w:rsidR="006469F9" w:rsidRPr="00741EFF" w:rsidRDefault="006469F9" w:rsidP="00741EFF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Pantau tekanan darah dan </w:t>
      </w:r>
      <w:proofErr w:type="gramStart"/>
      <w:r w:rsidRPr="00741EFF">
        <w:rPr>
          <w:rFonts w:ascii="Malgun Gothic" w:eastAsia="Malgun Gothic" w:hAnsi="Malgun Gothic"/>
        </w:rPr>
        <w:t>kadar</w:t>
      </w:r>
      <w:proofErr w:type="gramEnd"/>
      <w:r w:rsidRPr="00741EFF">
        <w:rPr>
          <w:rFonts w:ascii="Malgun Gothic" w:eastAsia="Malgun Gothic" w:hAnsi="Malgun Gothic"/>
        </w:rPr>
        <w:t xml:space="preserve"> gula darah secara rutin.  </w:t>
      </w:r>
    </w:p>
    <w:p w:rsidR="006469F9" w:rsidRPr="00741EFF" w:rsidRDefault="006469F9" w:rsidP="00741EFF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Gunakan pelindung kepala saat beraktivitas fisik untuk mencegah cedera otak.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741EFF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741EFF">
        <w:rPr>
          <w:rFonts w:ascii="Malgun Gothic" w:eastAsia="Malgun Gothic" w:hAnsi="Malgun Gothic"/>
          <w:b/>
          <w:bCs/>
          <w:sz w:val="24"/>
          <w:szCs w:val="24"/>
        </w:rPr>
        <w:t xml:space="preserve">SUPLEMEN YANG DIREKOMENDASIKAN  </w:t>
      </w:r>
    </w:p>
    <w:p w:rsidR="006469F9" w:rsidRPr="00741EFF" w:rsidRDefault="006469F9" w:rsidP="00741EFF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Magnesium: Membantu menenangkan sistem saraf dan meningkatkan fungsi otak.  </w:t>
      </w:r>
    </w:p>
    <w:p w:rsidR="006469F9" w:rsidRPr="00741EFF" w:rsidRDefault="006469F9" w:rsidP="00741EFF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Vitamin B6 dan B12: Mendukung fungsi saraf dan produksi neurotransmiter.  </w:t>
      </w:r>
    </w:p>
    <w:p w:rsidR="006469F9" w:rsidRPr="00741EFF" w:rsidRDefault="006469F9" w:rsidP="00741EFF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Omega-3: Mengurangi peradangan dan mendukung kesehatan otak.  </w:t>
      </w:r>
    </w:p>
    <w:p w:rsidR="006469F9" w:rsidRPr="00741EFF" w:rsidRDefault="006469F9" w:rsidP="00741EFF">
      <w:pPr>
        <w:pStyle w:val="ListParagraph"/>
        <w:numPr>
          <w:ilvl w:val="1"/>
          <w:numId w:val="25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Coenzyme Q10 (CoQ10): Membantu melindungi sel otak dan meningkatkan energi.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741EFF" w:rsidRDefault="006469F9" w:rsidP="006469F9">
      <w:pPr>
        <w:spacing w:after="0" w:line="240" w:lineRule="auto"/>
        <w:rPr>
          <w:rFonts w:ascii="Malgun Gothic" w:eastAsia="Malgun Gothic" w:hAnsi="Malgun Gothic"/>
          <w:b/>
          <w:bCs/>
        </w:rPr>
      </w:pPr>
      <w:r w:rsidRPr="00741EFF">
        <w:rPr>
          <w:rFonts w:ascii="Malgun Gothic" w:eastAsia="Malgun Gothic" w:hAnsi="Malgun Gothic"/>
          <w:b/>
          <w:bCs/>
        </w:rPr>
        <w:t xml:space="preserve">TANDA-TANDA PEMULIHAN  </w:t>
      </w:r>
    </w:p>
    <w:p w:rsidR="006469F9" w:rsidRPr="00741EFF" w:rsidRDefault="006469F9" w:rsidP="00741EFF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Kemampuan berbicara mulai membaik, baik dalam artikulasi maupun pemahaman bahasa.  </w:t>
      </w:r>
    </w:p>
    <w:p w:rsidR="006469F9" w:rsidRPr="00741EFF" w:rsidRDefault="006469F9" w:rsidP="00741EFF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lastRenderedPageBreak/>
        <w:t xml:space="preserve">Berkurangnya kelemahan otot wajah atau lidah.  </w:t>
      </w:r>
    </w:p>
    <w:p w:rsidR="006469F9" w:rsidRPr="00741EFF" w:rsidRDefault="006469F9" w:rsidP="00741EFF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Peningkatan kemampuan komunikasi dalam kehidupan sehari-hari.  </w:t>
      </w:r>
    </w:p>
    <w:p w:rsidR="006469F9" w:rsidRPr="00741EFF" w:rsidRDefault="006469F9" w:rsidP="00741EFF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Hasil tes neurologis yang menunjukkan perbaikan fungsi otak.  </w:t>
      </w:r>
    </w:p>
    <w:p w:rsidR="006469F9" w:rsidRPr="00741EFF" w:rsidRDefault="006469F9" w:rsidP="00741EFF">
      <w:pPr>
        <w:pStyle w:val="ListParagraph"/>
        <w:numPr>
          <w:ilvl w:val="1"/>
          <w:numId w:val="27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741EFF">
        <w:rPr>
          <w:rFonts w:ascii="Malgun Gothic" w:eastAsia="Malgun Gothic" w:hAnsi="Malgun Gothic"/>
        </w:rPr>
        <w:t xml:space="preserve">Peningkatan kualitas hidup secara keseluruhan.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Berikut adalah Formula Kapsul Herbal untuk Sulit Berbicara dengan pendekatan berbasis reseptor dan ritme sirkadian.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Formula ini dirancang untuk membantu meningkatkan fungsi saraf yang terkait dengan kemampuan berbicara, melindungi neuron dari kerusakan, serta mendukung regenerasi jaringan saraf.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Fokus utama formula ini adalah pada penghambatan inflamasi, perlindungan sel saraf, dan peningkatan plastisitas otak.</w:t>
      </w:r>
      <w:proofErr w:type="gramEnd"/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Sulit berbicara dapat disebabkan oleh berbagai kondisi seperti stroke, cedera otak, atau gangguan neurologis lainnya.</w:t>
      </w:r>
      <w:proofErr w:type="gramEnd"/>
      <w:r w:rsidRPr="00B118E6">
        <w:rPr>
          <w:rFonts w:ascii="Malgun Gothic" w:eastAsia="Malgun Gothic" w:hAnsi="Malgun Gothic"/>
        </w:rPr>
        <w:t xml:space="preserve"> Oleh karena itu, formula ini dirancang untuk mendukung pemulihan fungsi saraf yang terlibat dalam proses bicara.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Formula Kapsul Herbal (Netto 600 mg/kapsul)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Terbuat dari 5 bahan ekstrak herbal terstandar dengan salah satu bahannya adalah ekstrak biji Nigella sativa, diformulasikan khusus untuk: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Meningkatkan Fungsi Saraf yang Terkait dengan Kemampuan Berbicara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Melindungi Neuron dari Kerusakan Oksidatif &amp; Inflamasi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 Mendukung Regenerasi Jaringan Saraf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Berbasis Reseptor &amp; Ritme Sirkadian Neurologis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Target Terapi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Reseptor &amp; Jalur Target: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BDNF (Brain-Derived Neurotrophic Factor):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pertumbuhan dan plastisitas neuron yang terlibat dalam kemampuan berbicara.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Nrf2 Pathway: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Mengaktifkan produksi antioksidan alami tubuh untuk melindungi neuron dari stres oksidatif.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3. NF-κB Pathway: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Mengurangi inflamasi kronis yang dapat memperburuk kerusakan saraf.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GABAergic System: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Meningkatkan aktivitas GABA sebagai neurotransmiter inhibitor untuk menenangkan sistem saraf pusat.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Acetylcholine Pathway: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transmisi sinyal saraf yang penting untuk koordinasi otot wicara dan bicara.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Sirkadian Focus: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Aktivitas regenerasi sel saraf dan detoksifikasi alami tubuh lebih optimal pada malam hari.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Proses plastisitas otak dan pembentukan memori lebih aktif pada pagi–siang hari setelah bangun tidur.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Calibri" w:eastAsia="Malgun Gothic" w:hAnsi="Calibri" w:cs="Calibri"/>
        </w:rPr>
        <w:t>🌿</w:t>
      </w:r>
      <w:r w:rsidRPr="00B118E6">
        <w:rPr>
          <w:rFonts w:ascii="Malgun Gothic" w:eastAsia="Malgun Gothic" w:hAnsi="Malgun Gothic"/>
        </w:rPr>
        <w:t xml:space="preserve"> Komposisi per Kapsul (600 mg):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Nama Herbal (Bagian)       | Dosis | Senyawa Aktif          | Fungsi Utama                              |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|---------------------------------|-----------|----------------------------|-----------------------------------------------|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Nigella sativa (biji)      | 120 mg    | Thymoquinone              | Antioksidan, pelindung neuron, antiradang     |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Panax ginseng (akar)       | 120 mg    | Ginsenoside               | Meningkatkan fungsi saraf &amp; energi otak       |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Centella asiatica (daun)   | 120 mg    | Asiaticoside, madecassoside | Meningkatkan regenerasi sel saraf           |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Ginkgo biloba (daun)       | 120 mg    | Flavonoid, terpenoid      | Meningkatkan mikrosirkulasi otak             |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Withania somnifera (akar</w:t>
      </w:r>
      <w:proofErr w:type="gramStart"/>
      <w:r w:rsidRPr="00B118E6">
        <w:rPr>
          <w:rFonts w:ascii="Malgun Gothic" w:eastAsia="Malgun Gothic" w:hAnsi="Malgun Gothic"/>
        </w:rPr>
        <w:t>)  |</w:t>
      </w:r>
      <w:proofErr w:type="gramEnd"/>
      <w:r w:rsidRPr="00B118E6">
        <w:rPr>
          <w:rFonts w:ascii="Malgun Gothic" w:eastAsia="Malgun Gothic" w:hAnsi="Malgun Gothic"/>
        </w:rPr>
        <w:t xml:space="preserve"> 120 mg    | Withanolides             | Menyeimbangkan neurotransmiter, neuroprotektor|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Total Netto: 600 mg/kapsul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>---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Mekanisme Aksi Sinergis: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Nigella sativa + Centella asiatica: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Thymoquinone dan asiaticoside bekerja sinergis untuk melindungi neuron dari kerusakan oksidatif dan mendukung regenerasi sel saraf.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Panax ginseng + Ginkgo biloba: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Ginsenoside dan flavonoid meningkatkan aliran darah ke otak serta mendukung fungsi kognitif dan koordinasi saraf.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Withania somnifera + Nigella sativa: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Withanolides dan thymoquinone menyeimbangkan neurotransmiter dan mengurangi inflamasi neurologis.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4. Aktivasi BDNF &amp; Acetylcholine Pathway: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Mendukung plastisitas otak dan transmisi sinyal saraf yang penting untuk kemampuan berbicara.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5. Antioksidan System (Nrf2):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   - Menjaga integritas sel saraf dari kerusakan akibat radikal bebas.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Aturan Konsumsi (Berbasis Ritme Sirkadian):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Waktu Konsumsi     | Dosis                | Fungsi Ritmik                                                                 |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|-------------------------|--------------------------|-----------------------------------------------------------------------------------|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Pagi (07.00–08.00) | 1 kapsul sebelum sarapan | Menyiapkan sistem saraf untuk aktivitas harian dan mendukung plastisitas otak     |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Siang (13.00–14.00)| 1 kapsul sesudah makan   | Mendukung aliran darah ke otak saat aktivitas mencapai puncaknya                 |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| Malam (20.00–21.00)| 1 kapsul setelah makan malam | Memaksimalkan proses regenerasi sel saraf selama istirahat malam              |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Catatan Penggunaan: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lastRenderedPageBreak/>
        <w:t xml:space="preserve">- Dapat digunakan sebagai terapi tambahan untuk individu dengan kesulitan berbicara akibat stroke, cedera otak, atau gangguan neurologis lainnya.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Hindari konsumsi bersama obat neurologis seperti antidepresan atau antikoagulan tanpa konsultasi dokter.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Disarankan menjaga pola hidup sehat dengan tidur cukup, menghindari stres, dan melakukan latihan fisioterapi wicara jika diperlukan.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- Jika gejala seperti kesulitan berbicara tidak membaik atau disertai gangguan neurologis serius, segera konsultasikan ke dokter.  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---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>Kesimpulan:</w:t>
      </w:r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>Formula kapsul herbal ini dirancang untuk memberikan solusi holistik bagi individu dengan kesulitan berbicara melalui kombinasi bahan herbal yang bekerja sinergis.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gramStart"/>
      <w:r w:rsidRPr="00B118E6">
        <w:rPr>
          <w:rFonts w:ascii="Malgun Gothic" w:eastAsia="Malgun Gothic" w:hAnsi="Malgun Gothic"/>
        </w:rPr>
        <w:t>Pendekatan berbasis reseptor (BDNF, Nrf2, NF-κB) dan ritme sirkadian membuat formula ini efektif dalam melindungi neuron, mendukung regenerasi sel saraf, serta meningkatkan plastisitas otak.</w:t>
      </w:r>
      <w:proofErr w:type="gramEnd"/>
    </w:p>
    <w:p w:rsidR="006469F9" w:rsidRPr="00B118E6" w:rsidRDefault="006469F9" w:rsidP="006469F9">
      <w:pPr>
        <w:spacing w:after="0" w:line="240" w:lineRule="auto"/>
        <w:rPr>
          <w:rFonts w:ascii="Malgun Gothic" w:eastAsia="Malgun Gothic" w:hAnsi="Malgun Gothic"/>
        </w:rPr>
      </w:pPr>
    </w:p>
    <w:p w:rsidR="00B422D9" w:rsidRDefault="00B422D9"/>
    <w:sectPr w:rsidR="00B422D9" w:rsidSect="00902C90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2077E"/>
    <w:multiLevelType w:val="hybridMultilevel"/>
    <w:tmpl w:val="1060741E"/>
    <w:lvl w:ilvl="0" w:tplc="4C80327C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C56D1"/>
    <w:multiLevelType w:val="hybridMultilevel"/>
    <w:tmpl w:val="C47C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7D7D61"/>
    <w:multiLevelType w:val="hybridMultilevel"/>
    <w:tmpl w:val="AC04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F36C2"/>
    <w:multiLevelType w:val="hybridMultilevel"/>
    <w:tmpl w:val="C520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D3A34"/>
    <w:multiLevelType w:val="hybridMultilevel"/>
    <w:tmpl w:val="20E2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3D1D74"/>
    <w:multiLevelType w:val="hybridMultilevel"/>
    <w:tmpl w:val="51F4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F61EF"/>
    <w:multiLevelType w:val="hybridMultilevel"/>
    <w:tmpl w:val="9B5E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E14878"/>
    <w:multiLevelType w:val="hybridMultilevel"/>
    <w:tmpl w:val="A336FCFC"/>
    <w:lvl w:ilvl="0" w:tplc="2A30DE6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365512"/>
    <w:multiLevelType w:val="hybridMultilevel"/>
    <w:tmpl w:val="C80E6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A965C6"/>
    <w:multiLevelType w:val="hybridMultilevel"/>
    <w:tmpl w:val="78EA40AC"/>
    <w:lvl w:ilvl="0" w:tplc="F8B8531A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6D2F72"/>
    <w:multiLevelType w:val="hybridMultilevel"/>
    <w:tmpl w:val="D534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3570B9"/>
    <w:multiLevelType w:val="hybridMultilevel"/>
    <w:tmpl w:val="645A6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A6FE3"/>
    <w:multiLevelType w:val="hybridMultilevel"/>
    <w:tmpl w:val="2E6C2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72245"/>
    <w:multiLevelType w:val="hybridMultilevel"/>
    <w:tmpl w:val="B846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4447D4"/>
    <w:multiLevelType w:val="hybridMultilevel"/>
    <w:tmpl w:val="A6EE9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86B5E"/>
    <w:multiLevelType w:val="hybridMultilevel"/>
    <w:tmpl w:val="8000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56198F"/>
    <w:multiLevelType w:val="hybridMultilevel"/>
    <w:tmpl w:val="86D4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A27F57"/>
    <w:multiLevelType w:val="hybridMultilevel"/>
    <w:tmpl w:val="E1261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026448"/>
    <w:multiLevelType w:val="hybridMultilevel"/>
    <w:tmpl w:val="D7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2D211F"/>
    <w:multiLevelType w:val="hybridMultilevel"/>
    <w:tmpl w:val="B946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F82284"/>
    <w:multiLevelType w:val="hybridMultilevel"/>
    <w:tmpl w:val="0B3E9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E22392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FE3A90"/>
    <w:multiLevelType w:val="hybridMultilevel"/>
    <w:tmpl w:val="E9B0B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53073B"/>
    <w:multiLevelType w:val="hybridMultilevel"/>
    <w:tmpl w:val="216C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5B22BF"/>
    <w:multiLevelType w:val="hybridMultilevel"/>
    <w:tmpl w:val="48F4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D478BE"/>
    <w:multiLevelType w:val="hybridMultilevel"/>
    <w:tmpl w:val="E10C3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B3C91"/>
    <w:multiLevelType w:val="hybridMultilevel"/>
    <w:tmpl w:val="9702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6120A9"/>
    <w:multiLevelType w:val="hybridMultilevel"/>
    <w:tmpl w:val="77266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1"/>
  </w:num>
  <w:num w:numId="4">
    <w:abstractNumId w:val="9"/>
  </w:num>
  <w:num w:numId="5">
    <w:abstractNumId w:val="20"/>
  </w:num>
  <w:num w:numId="6">
    <w:abstractNumId w:val="0"/>
  </w:num>
  <w:num w:numId="7">
    <w:abstractNumId w:val="24"/>
  </w:num>
  <w:num w:numId="8">
    <w:abstractNumId w:val="26"/>
  </w:num>
  <w:num w:numId="9">
    <w:abstractNumId w:val="6"/>
  </w:num>
  <w:num w:numId="10">
    <w:abstractNumId w:val="2"/>
  </w:num>
  <w:num w:numId="11">
    <w:abstractNumId w:val="5"/>
  </w:num>
  <w:num w:numId="12">
    <w:abstractNumId w:val="19"/>
  </w:num>
  <w:num w:numId="13">
    <w:abstractNumId w:val="1"/>
  </w:num>
  <w:num w:numId="14">
    <w:abstractNumId w:val="4"/>
  </w:num>
  <w:num w:numId="15">
    <w:abstractNumId w:val="15"/>
  </w:num>
  <w:num w:numId="16">
    <w:abstractNumId w:val="3"/>
  </w:num>
  <w:num w:numId="17">
    <w:abstractNumId w:val="11"/>
  </w:num>
  <w:num w:numId="18">
    <w:abstractNumId w:val="22"/>
  </w:num>
  <w:num w:numId="19">
    <w:abstractNumId w:val="10"/>
  </w:num>
  <w:num w:numId="20">
    <w:abstractNumId w:val="12"/>
  </w:num>
  <w:num w:numId="21">
    <w:abstractNumId w:val="13"/>
  </w:num>
  <w:num w:numId="22">
    <w:abstractNumId w:val="8"/>
  </w:num>
  <w:num w:numId="23">
    <w:abstractNumId w:val="17"/>
  </w:num>
  <w:num w:numId="24">
    <w:abstractNumId w:val="18"/>
  </w:num>
  <w:num w:numId="25">
    <w:abstractNumId w:val="25"/>
  </w:num>
  <w:num w:numId="26">
    <w:abstractNumId w:val="14"/>
  </w:num>
  <w:num w:numId="2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compat/>
  <w:rsids>
    <w:rsidRoot w:val="006469F9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0D2F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48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77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05257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69F9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1EFF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02C90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4AEF"/>
    <w:rsid w:val="00E37570"/>
    <w:rsid w:val="00E406FB"/>
    <w:rsid w:val="00E41282"/>
    <w:rsid w:val="00E42030"/>
    <w:rsid w:val="00E5094F"/>
    <w:rsid w:val="00E53C37"/>
    <w:rsid w:val="00E5715A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1579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7</cp:revision>
  <dcterms:created xsi:type="dcterms:W3CDTF">2025-05-20T04:38:00Z</dcterms:created>
  <dcterms:modified xsi:type="dcterms:W3CDTF">2025-05-27T11:56:00Z</dcterms:modified>
</cp:coreProperties>
</file>