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D56D0C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0F29E1">
        <w:rPr>
          <w:sz w:val="68"/>
          <w:szCs w:val="68"/>
        </w:rPr>
        <w:t>macOS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PARGT Documentation (last updated: December 17, 2019)</w:t>
      </w:r>
    </w:p>
    <w:p w14:paraId="329B0552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Biological Sciences Division, Pacific Northwest National Laboratory, Richland, WA, USA</w:t>
      </w:r>
    </w:p>
    <w:p w14:paraId="0027F934" w14:textId="77777777" w:rsidR="00F11EE5" w:rsidRDefault="00F11EE5" w:rsidP="00F11EE5">
      <w:pPr>
        <w:jc w:val="center"/>
      </w:pPr>
      <w:r>
        <w:t>School of Electrical Engineering and Computer Science, Washington State University, Pullman, WA, USA</w:t>
      </w:r>
    </w:p>
    <w:p w14:paraId="25C6832A" w14:textId="188FEE46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please contact Abu Sayed Chowdhury (Email: abu.chowdhury@pnnl.gov, abu.chowdhury2005@gmail.com)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</w:t>
      </w:r>
      <w:proofErr w:type="spellStart"/>
      <w:r>
        <w:t>PARGT_Mac</w:t>
      </w:r>
      <w:proofErr w:type="spellEnd"/>
      <w:r>
        <w:t xml:space="preserve">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</w:t>
      </w:r>
      <w:proofErr w:type="spellStart"/>
      <w:r w:rsidR="0004484D">
        <w:t>PARGT_Mac</w:t>
      </w:r>
      <w:proofErr w:type="spellEnd"/>
      <w:r w:rsidR="0004484D">
        <w:t>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</w:t>
      </w:r>
      <w:proofErr w:type="spellStart"/>
      <w:r w:rsidR="0004484D">
        <w:t>sudo</w:t>
      </w:r>
      <w:proofErr w:type="spellEnd"/>
      <w:r w:rsidR="0004484D">
        <w:t xml:space="preserve"> </w:t>
      </w:r>
      <w:proofErr w:type="spellStart"/>
      <w:r w:rsidR="0004484D">
        <w:t>chmod</w:t>
      </w:r>
      <w:proofErr w:type="spellEnd"/>
      <w:r w:rsidR="0004484D">
        <w:t xml:space="preserve"> 755 </w:t>
      </w:r>
      <w:proofErr w:type="spellStart"/>
      <w:r w:rsidR="005129D3" w:rsidRPr="005129D3">
        <w:t>blastpgp</w:t>
      </w:r>
      <w:proofErr w:type="spellEnd"/>
      <w:r w:rsidR="0004484D">
        <w:t>”</w:t>
      </w:r>
      <w:r w:rsidR="00831D4D">
        <w:t xml:space="preserve"> and “</w:t>
      </w:r>
      <w:proofErr w:type="spellStart"/>
      <w:r w:rsidR="00831D4D">
        <w:t>sudo</w:t>
      </w:r>
      <w:proofErr w:type="spellEnd"/>
      <w:r w:rsidR="00831D4D">
        <w:t xml:space="preserve"> </w:t>
      </w:r>
      <w:proofErr w:type="spellStart"/>
      <w:r w:rsidR="00831D4D">
        <w:t>chmod</w:t>
      </w:r>
      <w:proofErr w:type="spellEnd"/>
      <w:r w:rsidR="00831D4D">
        <w:t xml:space="preserve"> 755 </w:t>
      </w:r>
      <w:proofErr w:type="spellStart"/>
      <w:r w:rsidR="00831D4D" w:rsidRPr="00831D4D">
        <w:t>makemat</w:t>
      </w:r>
      <w:proofErr w:type="spellEnd"/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spellEnd"/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proofErr w:type="spellStart"/>
      <w:r>
        <w:t>PARGT_</w:t>
      </w:r>
      <w:r w:rsidR="00566484">
        <w:t>Mac</w:t>
      </w:r>
      <w:proofErr w:type="spellEnd"/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</w:t>
      </w:r>
      <w:proofErr w:type="spellStart"/>
      <w:r w:rsidR="00737EF3">
        <w:t>PARGT.ipynb</w:t>
      </w:r>
      <w:proofErr w:type="spellEnd"/>
      <w:r w:rsidR="00737EF3">
        <w:t xml:space="preserve">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</w:t>
      </w:r>
      <w:proofErr w:type="gramStart"/>
      <w:r w:rsidR="00801C11">
        <w:t>(.</w:t>
      </w:r>
      <w:proofErr w:type="spellStart"/>
      <w:r w:rsidR="00801C11">
        <w:t>ipynb</w:t>
      </w:r>
      <w:proofErr w:type="spellEnd"/>
      <w:proofErr w:type="gramEnd"/>
      <w:r w:rsidR="00801C11">
        <w:t>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>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 using 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-forge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‘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’ executable file, please install </w:t>
      </w:r>
      <w:r w:rsidR="00E718FD" w:rsidRPr="00EB4441">
        <w:rPr>
          <w:b/>
        </w:rPr>
        <w:t xml:space="preserve">the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command “</w:t>
      </w:r>
      <w:proofErr w:type="spellStart"/>
      <w:r w:rsidR="003C256F" w:rsidRPr="00EB4441">
        <w:rPr>
          <w:b/>
        </w:rPr>
        <w:t>conda</w:t>
      </w:r>
      <w:proofErr w:type="spellEnd"/>
      <w:r w:rsidR="003C256F" w:rsidRPr="00EB4441">
        <w:rPr>
          <w:b/>
        </w:rPr>
        <w:t xml:space="preserve"> install -c </w:t>
      </w:r>
      <w:proofErr w:type="spellStart"/>
      <w:r w:rsidR="003C256F" w:rsidRPr="00EB4441">
        <w:rPr>
          <w:b/>
        </w:rPr>
        <w:t>biocore</w:t>
      </w:r>
      <w:proofErr w:type="spellEnd"/>
      <w:r w:rsidR="003C256F" w:rsidRPr="00EB4441">
        <w:rPr>
          <w:b/>
        </w:rPr>
        <w:t xml:space="preserve">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>command “</w:t>
      </w:r>
      <w:proofErr w:type="spellStart"/>
      <w:r w:rsidR="00DD329A" w:rsidRPr="00EB4441">
        <w:rPr>
          <w:b/>
        </w:rPr>
        <w:t>conda</w:t>
      </w:r>
      <w:proofErr w:type="spellEnd"/>
      <w:r w:rsidR="00DD329A" w:rsidRPr="00EB4441">
        <w:rPr>
          <w:b/>
        </w:rPr>
        <w:t xml:space="preserve">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proofErr w:type="spellStart"/>
      <w:r w:rsidR="00DD329A" w:rsidRPr="00EB4441">
        <w:rPr>
          <w:b/>
        </w:rPr>
        <w:t>psipred</w:t>
      </w:r>
      <w:proofErr w:type="spellEnd"/>
      <w:r w:rsidR="00DD329A" w:rsidRPr="00EB4441">
        <w:rPr>
          <w:b/>
        </w:rPr>
        <w:t xml:space="preserve"> and e1071 packages, respectively. </w:t>
      </w:r>
      <w:r w:rsidRPr="00EB4441">
        <w:rPr>
          <w:b/>
        </w:rPr>
        <w:t xml:space="preserve">All of the remaining packages should come with </w:t>
      </w:r>
      <w:proofErr w:type="spellStart"/>
      <w:r w:rsidRPr="00EB4441">
        <w:rPr>
          <w:b/>
        </w:rPr>
        <w:t>Jupyter</w:t>
      </w:r>
      <w:proofErr w:type="spellEnd"/>
      <w:r w:rsidRPr="00EB4441">
        <w:rPr>
          <w:b/>
        </w:rPr>
        <w:t xml:space="preserve">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</w:t>
      </w:r>
      <w:proofErr w:type="spellStart"/>
      <w:r w:rsidR="00E718FD" w:rsidRPr="00EB4441">
        <w:rPr>
          <w:b/>
        </w:rPr>
        <w:t>conda</w:t>
      </w:r>
      <w:proofErr w:type="spellEnd"/>
      <w:r w:rsidR="00E718FD" w:rsidRPr="00EB4441">
        <w:rPr>
          <w:b/>
        </w:rPr>
        <w:t xml:space="preserve">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proofErr w:type="spellStart"/>
      <w:r w:rsidRPr="000F5038">
        <w:t>predicted_resistance_</w:t>
      </w:r>
      <w:proofErr w:type="gramStart"/>
      <w:r w:rsidRPr="000F5038">
        <w:t>sequences</w:t>
      </w:r>
      <w:r>
        <w:t>.fasta</w:t>
      </w:r>
      <w:proofErr w:type="spellEnd"/>
      <w:proofErr w:type="gramEnd"/>
      <w:r>
        <w:t>” file located in the “</w:t>
      </w:r>
      <w:proofErr w:type="spellStart"/>
      <w:r>
        <w:t>PARGT_Mac</w:t>
      </w:r>
      <w:proofErr w:type="spellEnd"/>
      <w:r>
        <w:t>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37C608C0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 xml:space="preserve">, S.L., </w:t>
      </w:r>
      <w:r w:rsidR="00FC6F30">
        <w:t>2020</w:t>
      </w:r>
      <w:r>
        <w:t xml:space="preserve">. PARGT: A Software Tool for Predicting Antimicrobial Resistance in Bacteria. </w:t>
      </w:r>
      <w:r w:rsidR="00585154">
        <w:t>Scientific Reports</w:t>
      </w:r>
      <w:r>
        <w:t>.</w:t>
      </w:r>
    </w:p>
    <w:p w14:paraId="60D7F81B" w14:textId="4D573769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>, S.L., 2019</w:t>
      </w:r>
      <w:r>
        <w:t>. Antimicrobial Resistance Prediction for Gram-Negative Bacteria via Game Theory-Based Feature Evaluation. Scientific Reports.</w:t>
      </w:r>
    </w:p>
    <w:p w14:paraId="25F593E8" w14:textId="3D92286E" w:rsidR="00E65E57" w:rsidRDefault="00E65E57" w:rsidP="0071603A">
      <w:pPr>
        <w:pStyle w:val="ListParagraph"/>
        <w:numPr>
          <w:ilvl w:val="0"/>
          <w:numId w:val="15"/>
        </w:numPr>
      </w:pPr>
      <w:r w:rsidRPr="00E65E57">
        <w:t xml:space="preserve">Chowdhury, A.S., </w:t>
      </w:r>
      <w:proofErr w:type="spellStart"/>
      <w:r w:rsidRPr="00E65E57">
        <w:t>Khaledian</w:t>
      </w:r>
      <w:proofErr w:type="spellEnd"/>
      <w:r w:rsidRPr="00E65E57">
        <w:t xml:space="preserve">, E. and </w:t>
      </w:r>
      <w:proofErr w:type="spellStart"/>
      <w:r w:rsidRPr="00E65E57">
        <w:t>Broschat</w:t>
      </w:r>
      <w:proofErr w:type="spellEnd"/>
      <w:r w:rsidRPr="00E65E57">
        <w:t xml:space="preserve">, S.L., 2019. Capreomycin resistance prediction in two species of </w:t>
      </w:r>
      <w:r w:rsidRPr="0097774A">
        <w:rPr>
          <w:i/>
          <w:iCs/>
        </w:rPr>
        <w:t>Mycobacterium</w:t>
      </w:r>
      <w:r w:rsidRPr="00E65E57">
        <w:t xml:space="preserve"> using a stacked ensemble method. Journal of applied microbiology.</w:t>
      </w:r>
    </w:p>
    <w:sectPr w:rsidR="00E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29E1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7774A"/>
    <w:rsid w:val="00982026"/>
    <w:rsid w:val="009B01FC"/>
    <w:rsid w:val="009D3DFA"/>
    <w:rsid w:val="009E16E0"/>
    <w:rsid w:val="00A02720"/>
    <w:rsid w:val="00A06EE1"/>
    <w:rsid w:val="00A2181F"/>
    <w:rsid w:val="00A35BF8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5E57"/>
    <w:rsid w:val="00E66372"/>
    <w:rsid w:val="00E718FD"/>
    <w:rsid w:val="00EB4441"/>
    <w:rsid w:val="00ED76AC"/>
    <w:rsid w:val="00EF2B45"/>
    <w:rsid w:val="00F007C1"/>
    <w:rsid w:val="00F03539"/>
    <w:rsid w:val="00F11EE5"/>
    <w:rsid w:val="00F17E58"/>
    <w:rsid w:val="00F208B2"/>
    <w:rsid w:val="00F268AD"/>
    <w:rsid w:val="00F342B9"/>
    <w:rsid w:val="00FB2133"/>
    <w:rsid w:val="00FB27AF"/>
    <w:rsid w:val="00FC6F30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Abu Chowdhury</cp:lastModifiedBy>
  <cp:revision>24</cp:revision>
  <cp:lastPrinted>2019-11-12T18:02:00Z</cp:lastPrinted>
  <dcterms:created xsi:type="dcterms:W3CDTF">2019-10-25T17:46:00Z</dcterms:created>
  <dcterms:modified xsi:type="dcterms:W3CDTF">2020-06-30T08:20:00Z</dcterms:modified>
</cp:coreProperties>
</file>