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8442" w14:textId="77777777" w:rsidR="001918C0" w:rsidRDefault="00000000">
      <w:pPr>
        <w:spacing w:after="50"/>
        <w:jc w:val="center"/>
        <w:rPr>
          <w:rFonts w:asciiTheme="minorEastAsia" w:eastAsiaTheme="minorEastAsia" w:hAnsiTheme="minorEastAsia" w:cstheme="minorEastAsia" w:hint="eastAsia"/>
          <w:b/>
          <w:bCs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 w:themeColor="text1"/>
          <w:sz w:val="28"/>
          <w:szCs w:val="28"/>
        </w:rPr>
        <w:t>车企出海B端政企数据收集</w:t>
      </w:r>
    </w:p>
    <w:p w14:paraId="09C3E6BA" w14:textId="77777777" w:rsidR="001918C0" w:rsidRDefault="001918C0">
      <w:pPr>
        <w:spacing w:after="50"/>
        <w:ind w:firstLineChars="100" w:firstLine="280"/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</w:p>
    <w:p w14:paraId="1FF593E3" w14:textId="77777777" w:rsidR="001918C0" w:rsidRDefault="00000000">
      <w:pPr>
        <w:spacing w:after="50"/>
        <w:ind w:firstLineChars="100" w:firstLine="280"/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行业基准对标 + 政企商机与项目跟踪 + 关键法规影响评估</w:t>
      </w:r>
    </w:p>
    <w:p w14:paraId="231C3702" w14:textId="77777777" w:rsidR="001918C0" w:rsidRDefault="00000000">
      <w:pPr>
        <w:pStyle w:val="a8"/>
        <w:widowControl/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我的侧重点：数据与信任，因为</w:t>
      </w:r>
      <w:r>
        <w:rPr>
          <w:rStyle w:val="aa"/>
          <w:rFonts w:asciiTheme="minorEastAsia" w:eastAsiaTheme="minorEastAsia" w:hAnsiTheme="minorEastAsia" w:cstheme="minorEastAsia" w:hint="eastAsia"/>
          <w:b w:val="0"/>
          <w:color w:val="000000" w:themeColor="text1"/>
          <w:sz w:val="28"/>
          <w:szCs w:val="28"/>
        </w:rPr>
        <w:t>欧洲人根本不太信任中国车（只有19%信），会导致中国车相较于燃油车和外国新能源车的残值率变低，可能会导致</w:t>
      </w: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车不值钱，租车公司月租就得收贵，政府一算总账就不选你了。还有数据安全方面，欧洲人怕中国车把数据传回国，政府买车最在意。</w:t>
      </w:r>
    </w:p>
    <w:p w14:paraId="2E9EB11C" w14:textId="77777777" w:rsidR="001918C0" w:rsidRDefault="001918C0">
      <w:pPr>
        <w:sectPr w:rsidR="001918C0">
          <w:pgSz w:w="16838" w:h="11906" w:orient="landscape"/>
          <w:pgMar w:top="1200" w:right="1440" w:bottom="1200" w:left="1440" w:header="708" w:footer="708" w:gutter="0"/>
          <w:cols w:space="720"/>
          <w:docGrid w:linePitch="360"/>
        </w:sectPr>
      </w:pPr>
    </w:p>
    <w:p w14:paraId="6E9B6CFA" w14:textId="77777777" w:rsidR="001918C0" w:rsidRDefault="00000000">
      <w:pPr>
        <w:spacing w:after="50"/>
        <w:rPr>
          <w:rFonts w:asciiTheme="minorEastAsia" w:eastAsiaTheme="minorEastAsia" w:hAnsiTheme="minorEastAsia" w:cstheme="minorEastAsia" w:hint="eastAsia"/>
          <w:color w:val="000000" w:themeColor="text1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lastRenderedPageBreak/>
        <w:t>行业基准对标：</w:t>
      </w:r>
    </w:p>
    <w:tbl>
      <w:tblPr>
        <w:tblW w:w="13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7"/>
        <w:gridCol w:w="2065"/>
        <w:gridCol w:w="5217"/>
        <w:gridCol w:w="3159"/>
        <w:gridCol w:w="1181"/>
        <w:gridCol w:w="848"/>
      </w:tblGrid>
      <w:tr w:rsidR="001918C0" w14:paraId="7AD6022C" w14:textId="77777777">
        <w:trPr>
          <w:trHeight w:val="90"/>
          <w:tblHeader/>
        </w:trPr>
        <w:tc>
          <w:tcPr>
            <w:tcW w:w="1467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66D8F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4"/>
                <w:szCs w:val="24"/>
              </w:rPr>
              <w:t>维度</w:t>
            </w:r>
          </w:p>
        </w:tc>
        <w:tc>
          <w:tcPr>
            <w:tcW w:w="2065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F5321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4"/>
                <w:szCs w:val="24"/>
              </w:rPr>
              <w:t>指标</w:t>
            </w:r>
          </w:p>
        </w:tc>
        <w:tc>
          <w:tcPr>
            <w:tcW w:w="5217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F00E9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4"/>
                <w:szCs w:val="24"/>
              </w:rPr>
              <w:t>已收集数据 / 信息</w:t>
            </w:r>
          </w:p>
        </w:tc>
        <w:tc>
          <w:tcPr>
            <w:tcW w:w="3159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694D2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4"/>
                <w:szCs w:val="24"/>
              </w:rPr>
              <w:t>对中国车企B端出海的含义</w:t>
            </w:r>
          </w:p>
        </w:tc>
        <w:tc>
          <w:tcPr>
            <w:tcW w:w="1181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E5BFC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4"/>
                <w:szCs w:val="24"/>
              </w:rPr>
              <w:t>来源</w:t>
            </w:r>
          </w:p>
        </w:tc>
        <w:tc>
          <w:tcPr>
            <w:tcW w:w="848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3D2F5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4"/>
                <w:szCs w:val="24"/>
              </w:rPr>
              <w:t>更新频率</w:t>
            </w:r>
          </w:p>
        </w:tc>
      </w:tr>
      <w:tr w:rsidR="001918C0" w14:paraId="2D5F1BC1" w14:textId="77777777">
        <w:trPr>
          <w:trHeight w:val="90"/>
        </w:trPr>
        <w:tc>
          <w:tcPr>
            <w:tcW w:w="146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8FCC3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市场电动化</w:t>
            </w:r>
          </w:p>
        </w:tc>
        <w:tc>
          <w:tcPr>
            <w:tcW w:w="2065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2535D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EU纯电渗透与动力结构</w:t>
            </w:r>
          </w:p>
        </w:tc>
        <w:tc>
          <w:tcPr>
            <w:tcW w:w="521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E9C44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2025年EU纯电(BEV)份额约17.4%、混动约34.5%；2026年前5月YTD纯电升至约20%，混动仍是最大单一类别。</w:t>
            </w:r>
          </w:p>
        </w:tc>
        <w:tc>
          <w:tcPr>
            <w:tcW w:w="315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A7358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电动化在升，但混动仍主流。B端方案要贴车队场景与补能条件，不只关注“纯电替代”。</w:t>
            </w:r>
          </w:p>
        </w:tc>
        <w:tc>
          <w:tcPr>
            <w:tcW w:w="1181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D00B5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S3</w:t>
            </w:r>
          </w:p>
        </w:tc>
        <w:tc>
          <w:tcPr>
            <w:tcW w:w="84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F9806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月度/季度</w:t>
            </w:r>
          </w:p>
        </w:tc>
      </w:tr>
      <w:tr w:rsidR="001918C0" w14:paraId="1E2E96F0" w14:textId="77777777">
        <w:trPr>
          <w:trHeight w:val="90"/>
        </w:trPr>
        <w:tc>
          <w:tcPr>
            <w:tcW w:w="146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70F20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二手残值</w:t>
            </w:r>
          </w:p>
        </w:tc>
        <w:tc>
          <w:tcPr>
            <w:tcW w:w="2065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3AC44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分动力三年保值率</w:t>
            </w:r>
          </w:p>
        </w:tc>
        <w:tc>
          <w:tcPr>
            <w:tcW w:w="521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4B43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2025年7月欧洲三年保值率：油混(HEV)52.5% ＞ 汽油50.4% ＞ 柴油49% ＞ 插混45.8% ＞ 纯电(BEV)最低39.6%；纯电三年折旧约38–42% vs 燃油35–40%；纯电平均最难卖(约82.8天售出)。</w:t>
            </w:r>
          </w:p>
        </w:tc>
        <w:tc>
          <w:tcPr>
            <w:tcW w:w="315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4FBC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纯电残值垫底，中国品牌易有“信任折价”，形成柠檬市场效应。残值直接抬高租赁月供与政企TCO，提高隐形采购门槛。</w:t>
            </w:r>
          </w:p>
        </w:tc>
        <w:tc>
          <w:tcPr>
            <w:tcW w:w="1181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335D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S4</w:t>
            </w:r>
          </w:p>
        </w:tc>
        <w:tc>
          <w:tcPr>
            <w:tcW w:w="84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69FD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月度/季度</w:t>
            </w:r>
          </w:p>
        </w:tc>
      </w:tr>
      <w:tr w:rsidR="001918C0" w14:paraId="042B919B" w14:textId="77777777">
        <w:trPr>
          <w:trHeight w:val="90"/>
        </w:trPr>
        <w:tc>
          <w:tcPr>
            <w:tcW w:w="146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FBBEA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残值趋势</w:t>
            </w:r>
          </w:p>
        </w:tc>
        <w:tc>
          <w:tcPr>
            <w:tcW w:w="2065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DBACA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折旧收敛与关键变量</w:t>
            </w:r>
          </w:p>
        </w:tc>
        <w:tc>
          <w:tcPr>
            <w:tcW w:w="521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A914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2026年残值降幅趋缓（预计约-1.4%）；随电池健康(SOH)透明度与买家信心上升，油/电残值差正在收敛。</w:t>
            </w:r>
          </w:p>
        </w:tc>
        <w:tc>
          <w:tcPr>
            <w:tcW w:w="315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FB54C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电池健康与残值“透明化”是把残值劣势转为竞争力的关键，直接关联2027年强制的电池护照。</w:t>
            </w:r>
          </w:p>
        </w:tc>
        <w:tc>
          <w:tcPr>
            <w:tcW w:w="1181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31A55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S5/S6</w:t>
            </w:r>
          </w:p>
        </w:tc>
        <w:tc>
          <w:tcPr>
            <w:tcW w:w="84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817DF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年度</w:t>
            </w:r>
          </w:p>
        </w:tc>
      </w:tr>
      <w:tr w:rsidR="001918C0" w14:paraId="52947D06" w14:textId="77777777">
        <w:trPr>
          <w:trHeight w:val="90"/>
        </w:trPr>
        <w:tc>
          <w:tcPr>
            <w:tcW w:w="146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268A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机构信任</w:t>
            </w:r>
          </w:p>
        </w:tc>
        <w:tc>
          <w:tcPr>
            <w:tcW w:w="2065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5F8B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Euro NCAP / ADAC</w:t>
            </w:r>
          </w:p>
        </w:tc>
        <w:tc>
          <w:tcPr>
            <w:tcW w:w="521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117E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欧洲购车信任依赖机构而非平台：Euro NCAP碰撞星级、德国ADAC年度《故障统计(Pannenstatistik)》是主要背书；BYD Seal / Sealion 7 等已获五星。</w:t>
            </w:r>
          </w:p>
        </w:tc>
        <w:tc>
          <w:tcPr>
            <w:tcW w:w="315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6EC0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提升信任的最高杠杆是机构背书；应将NCAP/ADAC表现纳入投标材料。</w:t>
            </w:r>
          </w:p>
        </w:tc>
        <w:tc>
          <w:tcPr>
            <w:tcW w:w="1181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5A90D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S7</w:t>
            </w:r>
          </w:p>
        </w:tc>
        <w:tc>
          <w:tcPr>
            <w:tcW w:w="84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D25B4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年度</w:t>
            </w:r>
          </w:p>
        </w:tc>
      </w:tr>
      <w:tr w:rsidR="001918C0" w14:paraId="51EA867B" w14:textId="77777777">
        <w:trPr>
          <w:trHeight w:val="90"/>
        </w:trPr>
        <w:tc>
          <w:tcPr>
            <w:tcW w:w="146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2DBCF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数据信任</w:t>
            </w:r>
          </w:p>
        </w:tc>
        <w:tc>
          <w:tcPr>
            <w:tcW w:w="2065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0213F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联网车数据安全</w:t>
            </w:r>
          </w:p>
        </w:tc>
        <w:tc>
          <w:tcPr>
            <w:tcW w:w="5217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09E0F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ECFR、MERICS等智库持续将“中国联网车数据外流”列为欧洲安全焦点；EU已依NIS2启动联网车网络安全风险评估，并以数据法案强化用户数据权。</w:t>
            </w:r>
          </w:p>
        </w:tc>
        <w:tc>
          <w:tcPr>
            <w:tcW w:w="3159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D225F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数据安全是政府车队采购的隐形一票否决项</w:t>
            </w:r>
          </w:p>
        </w:tc>
        <w:tc>
          <w:tcPr>
            <w:tcW w:w="1181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BF3CC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S8/S9</w:t>
            </w:r>
          </w:p>
        </w:tc>
        <w:tc>
          <w:tcPr>
            <w:tcW w:w="84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B73C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2"/>
                <w:szCs w:val="3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2"/>
                <w:szCs w:val="22"/>
              </w:rPr>
              <w:t>持续</w:t>
            </w:r>
          </w:p>
        </w:tc>
      </w:tr>
    </w:tbl>
    <w:p w14:paraId="4A16D689" w14:textId="77777777" w:rsidR="001918C0" w:rsidRDefault="001918C0">
      <w:pPr>
        <w:spacing w:after="50"/>
        <w:rPr>
          <w:rFonts w:asciiTheme="minorEastAsia" w:eastAsiaTheme="minorEastAsia" w:hAnsiTheme="minorEastAsia" w:cstheme="minorEastAsia" w:hint="eastAsia"/>
          <w:color w:val="000000" w:themeColor="text1"/>
          <w:sz w:val="32"/>
          <w:szCs w:val="32"/>
        </w:rPr>
      </w:pPr>
    </w:p>
    <w:p w14:paraId="1D67F814" w14:textId="77777777" w:rsidR="001918C0" w:rsidRDefault="001918C0">
      <w:pPr>
        <w:sectPr w:rsidR="001918C0">
          <w:pgSz w:w="16838" w:h="11906" w:orient="landscape"/>
          <w:pgMar w:top="1200" w:right="1440" w:bottom="1200" w:left="1440" w:header="708" w:footer="708" w:gutter="0"/>
          <w:cols w:space="720"/>
          <w:docGrid w:linePitch="360"/>
        </w:sectPr>
      </w:pPr>
    </w:p>
    <w:p w14:paraId="6AF020DB" w14:textId="77777777" w:rsidR="001918C0" w:rsidRDefault="00000000">
      <w:pP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lastRenderedPageBreak/>
        <w:t>政企商机与项目跟踪：近期项目样例</w:t>
      </w:r>
    </w:p>
    <w:p w14:paraId="6E56CB9E" w14:textId="77777777" w:rsidR="001918C0" w:rsidRDefault="00000000">
      <w:pPr>
        <w:spacing w:after="120" w:line="300" w:lineRule="auto"/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欧盟成员国投资项目资金窗口将在2026年前后关闭，之后补贴与贷款收紧，2025–2026为政企电动化招标的放量高峰期。项目跟踪覆盖“车辆+充电+运维”的封闭场景（公交、机场、港口、园区物流）。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2000"/>
        <w:gridCol w:w="2400"/>
        <w:gridCol w:w="4180"/>
        <w:gridCol w:w="1900"/>
        <w:gridCol w:w="1800"/>
        <w:gridCol w:w="858"/>
      </w:tblGrid>
      <w:tr w:rsidR="001918C0" w14:paraId="6B0BC000" w14:textId="77777777">
        <w:trPr>
          <w:tblHeader/>
        </w:trPr>
        <w:tc>
          <w:tcPr>
            <w:tcW w:w="82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F3BD7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编号</w:t>
            </w:r>
          </w:p>
        </w:tc>
        <w:tc>
          <w:tcPr>
            <w:tcW w:w="20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64D31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国家 / 场景</w:t>
            </w:r>
          </w:p>
        </w:tc>
        <w:tc>
          <w:tcPr>
            <w:tcW w:w="24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7B7AC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采购主体</w:t>
            </w:r>
          </w:p>
        </w:tc>
        <w:tc>
          <w:tcPr>
            <w:tcW w:w="418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34B7F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项目内容</w:t>
            </w:r>
          </w:p>
        </w:tc>
        <w:tc>
          <w:tcPr>
            <w:tcW w:w="19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4963D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商机判断</w:t>
            </w:r>
          </w:p>
        </w:tc>
        <w:tc>
          <w:tcPr>
            <w:tcW w:w="18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23FEA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主要风险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3E9C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来源</w:t>
            </w:r>
          </w:p>
        </w:tc>
      </w:tr>
      <w:tr w:rsidR="001918C0" w14:paraId="63D7704A" w14:textId="77777777">
        <w:tc>
          <w:tcPr>
            <w:tcW w:w="82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EE43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20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063D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罗马尼亚｜城市公交+充电</w:t>
            </w:r>
          </w:p>
        </w:tc>
        <w:tc>
          <w:tcPr>
            <w:tcW w:w="2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8C74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市级公共交通运营方</w:t>
            </w:r>
          </w:p>
        </w:tc>
        <w:tc>
          <w:tcPr>
            <w:tcW w:w="418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DB140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8辆约12m电动公交（可爬坡）+3座快充+8座慢充；2026/1/9授标，合同额约2,215万列伊。</w:t>
            </w:r>
          </w:p>
        </w:tc>
        <w:tc>
          <w:tcPr>
            <w:tcW w:w="1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A860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中，中小城市“车+桩”整包，适合客车企业联合充电/运维伙伴。</w:t>
            </w:r>
          </w:p>
        </w:tc>
        <w:tc>
          <w:tcPr>
            <w:tcW w:w="18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21028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车队小、单值低；本地认证与付款条件。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CE2C1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S10</w:t>
            </w:r>
          </w:p>
        </w:tc>
      </w:tr>
      <w:tr w:rsidR="001918C0" w14:paraId="4BA549C1" w14:textId="77777777">
        <w:tc>
          <w:tcPr>
            <w:tcW w:w="82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56737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20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2C188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英国｜考文垂电动公交城</w:t>
            </w:r>
          </w:p>
        </w:tc>
        <w:tc>
          <w:tcPr>
            <w:tcW w:w="2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AE14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地方交通局 / 运营商</w:t>
            </w:r>
          </w:p>
        </w:tc>
        <w:tc>
          <w:tcPr>
            <w:tcW w:w="418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FCA19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现有补贴公交合约2026/7/18到期重招，估算总额约£21.65M；要求合约开始12个月内实现全电动车队。</w:t>
            </w:r>
          </w:p>
        </w:tc>
        <w:tc>
          <w:tcPr>
            <w:tcW w:w="1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64594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中高，政策倒逼强、时点明确；适合“车+本地运营”绑定投标。</w:t>
            </w:r>
          </w:p>
        </w:tc>
        <w:tc>
          <w:tcPr>
            <w:tcW w:w="18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6A228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本地运营商竞争强；本地社会价值权重。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C50D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S11</w:t>
            </w:r>
          </w:p>
        </w:tc>
      </w:tr>
      <w:tr w:rsidR="001918C0" w14:paraId="5A3B0F9A" w14:textId="77777777">
        <w:tc>
          <w:tcPr>
            <w:tcW w:w="82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7F4B4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P3</w:t>
            </w:r>
          </w:p>
        </w:tc>
        <w:tc>
          <w:tcPr>
            <w:tcW w:w="20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07946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瑞士｜电动公交充电设备</w:t>
            </w:r>
          </w:p>
        </w:tc>
        <w:tc>
          <w:tcPr>
            <w:tcW w:w="2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B64B0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瑞士公交运营方</w:t>
            </w:r>
          </w:p>
        </w:tc>
        <w:tc>
          <w:tcPr>
            <w:tcW w:w="418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2340A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电动公交充电设备采购，2025/11/19授标，合同额约206万瑞郎。</w:t>
            </w:r>
          </w:p>
        </w:tc>
        <w:tc>
          <w:tcPr>
            <w:tcW w:w="1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20E39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中，纯基础设施，适合充电/储能方向切入。</w:t>
            </w:r>
          </w:p>
        </w:tc>
        <w:tc>
          <w:tcPr>
            <w:tcW w:w="18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555C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偏工程、不是直接卖车。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9F61D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S12</w:t>
            </w:r>
          </w:p>
        </w:tc>
      </w:tr>
      <w:tr w:rsidR="001918C0" w14:paraId="257DB915" w14:textId="77777777">
        <w:tc>
          <w:tcPr>
            <w:tcW w:w="82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97B8B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P4</w:t>
            </w:r>
          </w:p>
        </w:tc>
        <w:tc>
          <w:tcPr>
            <w:tcW w:w="20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DCF93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意大利｜市级电动公交</w:t>
            </w:r>
          </w:p>
        </w:tc>
        <w:tc>
          <w:tcPr>
            <w:tcW w:w="2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ACF4D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意大利某地方市政</w:t>
            </w:r>
          </w:p>
        </w:tc>
        <w:tc>
          <w:tcPr>
            <w:tcW w:w="418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189D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约3,400万欧元电动公交采购招标。</w:t>
            </w:r>
          </w:p>
        </w:tc>
        <w:tc>
          <w:tcPr>
            <w:tcW w:w="1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B9A4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高：规模较大，整车+服务机会明确。</w:t>
            </w:r>
          </w:p>
        </w:tc>
        <w:tc>
          <w:tcPr>
            <w:tcW w:w="18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F6FCF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需本地投标支持与售后承诺。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4DD28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S13</w:t>
            </w:r>
          </w:p>
        </w:tc>
      </w:tr>
    </w:tbl>
    <w:p w14:paraId="234DD0B9" w14:textId="77777777" w:rsidR="001918C0" w:rsidRDefault="001918C0">
      <w:pPr>
        <w:sectPr w:rsidR="001918C0">
          <w:pgSz w:w="16838" w:h="11906" w:orient="landscape"/>
          <w:pgMar w:top="1200" w:right="1440" w:bottom="1200" w:left="1440" w:header="708" w:footer="708" w:gutter="0"/>
          <w:cols w:space="720"/>
          <w:docGrid w:linePitch="360"/>
        </w:sectPr>
      </w:pPr>
    </w:p>
    <w:p w14:paraId="31198E57" w14:textId="77777777" w:rsidR="001918C0" w:rsidRDefault="00000000">
      <w:pPr>
        <w:spacing w:after="120" w:line="300" w:lineRule="auto"/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lastRenderedPageBreak/>
        <w:t>关键法规影响评估与建议：</w:t>
      </w:r>
    </w:p>
    <w:p w14:paraId="44B9B248" w14:textId="77777777" w:rsidR="001918C0" w:rsidRDefault="00000000">
      <w:pPr>
        <w:spacing w:after="120" w:line="300" w:lineRule="auto"/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8"/>
          <w:szCs w:val="28"/>
        </w:rPr>
        <w:t>围绕数据、网络安全与人工智能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4539"/>
        <w:gridCol w:w="3350"/>
        <w:gridCol w:w="2868"/>
        <w:gridCol w:w="1020"/>
      </w:tblGrid>
      <w:tr w:rsidR="001918C0" w14:paraId="7ABCF84D" w14:textId="77777777">
        <w:trPr>
          <w:tblHeader/>
        </w:trPr>
        <w:tc>
          <w:tcPr>
            <w:tcW w:w="22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727DF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法规 / 政策</w:t>
            </w:r>
          </w:p>
        </w:tc>
        <w:tc>
          <w:tcPr>
            <w:tcW w:w="46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D695E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关键要求与时间点</w:t>
            </w:r>
          </w:p>
        </w:tc>
        <w:tc>
          <w:tcPr>
            <w:tcW w:w="34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86464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影响评估</w:t>
            </w:r>
          </w:p>
        </w:tc>
        <w:tc>
          <w:tcPr>
            <w:tcW w:w="2900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4778F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应对建议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4" w:space="0" w:color="444444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3C3E6" w14:textId="77777777" w:rsidR="001918C0" w:rsidRDefault="00000000">
            <w:pPr>
              <w:spacing w:line="250" w:lineRule="auto"/>
              <w:jc w:val="center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  <w:sz w:val="28"/>
                <w:szCs w:val="28"/>
              </w:rPr>
              <w:t>来源</w:t>
            </w:r>
          </w:p>
        </w:tc>
      </w:tr>
      <w:tr w:rsidR="001918C0" w14:paraId="3724A651" w14:textId="77777777">
        <w:tc>
          <w:tcPr>
            <w:tcW w:w="22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3588E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UNECE R155 车辆网络安全（CSMS）</w:t>
            </w:r>
          </w:p>
        </w:tc>
        <w:tc>
          <w:tcPr>
            <w:tcW w:w="46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B6963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2022/7新车型强制、2024/7起所有新生产车强制；须组织级CSMS证书(有效期≤3年)+车辆型式认证，做TARA威胁分析、全生命周期监测与供应链网络安全，参照ISO/SAE 21434；覆盖EU/英国等60+缔约方。</w:t>
            </w:r>
          </w:p>
        </w:tc>
        <w:tc>
          <w:tcPr>
            <w:tcW w:w="3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D5F57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硬准入门槛：无有效CSMS证书与型式认证的车辆无法在欧盟/英国注册。</w:t>
            </w:r>
          </w:p>
        </w:tc>
        <w:tc>
          <w:tcPr>
            <w:tcW w:w="2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EF61C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将CSMS与R156(OTA软件更新)合规做成可展示的“信任资产”，投标时主动出示证书；建立供应链网络安全清单与漏洞响应机制。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E7FC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S15</w:t>
            </w:r>
          </w:p>
        </w:tc>
      </w:tr>
      <w:tr w:rsidR="001918C0" w14:paraId="5B4D4426" w14:textId="77777777">
        <w:tc>
          <w:tcPr>
            <w:tcW w:w="22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88A63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GDPR + EU 数据法案（Data Act）</w:t>
            </w:r>
          </w:p>
        </w:tc>
        <w:tc>
          <w:tcPr>
            <w:tcW w:w="46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690F1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数据法案2025/9/12起适用：联网车数据须可携带、用户可授权第三方访问（车速、电量、传感器等在范围内，ADAS/事故严重度分析除外）；叠加GDPR与NIS2联网车风险评估。</w:t>
            </w:r>
          </w:p>
        </w:tc>
        <w:tc>
          <w:tcPr>
            <w:tcW w:w="3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81906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数据主权是政企采购的隐形一票否决项：即便云部署在欧盟，若数据可被境外远程访问也会被质疑。</w:t>
            </w:r>
          </w:p>
        </w:tc>
        <w:tc>
          <w:tcPr>
            <w:tcW w:w="2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C9CE3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采用EU数据驻留+本地化数据架构+第三方安全审计，将“数据留在欧洲、用户可控”作为卖点。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79D52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S16/S17</w:t>
            </w:r>
          </w:p>
        </w:tc>
      </w:tr>
      <w:tr w:rsidR="001918C0" w14:paraId="308291F8" w14:textId="77777777">
        <w:tc>
          <w:tcPr>
            <w:tcW w:w="22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5B1F9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EU 人工智能法案（AI Act）</w:t>
            </w:r>
          </w:p>
        </w:tc>
        <w:tc>
          <w:tcPr>
            <w:tcW w:w="46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0DF01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作为受规产品(车辆)安全组件的高风险AI，相关义务经“数字综合法案”从2026/8推迟至2027/12生效；情感识别须明确告知，职场/教育场景情感识别自2025/2起禁止。</w:t>
            </w:r>
          </w:p>
        </w:tc>
        <w:tc>
          <w:tcPr>
            <w:tcW w:w="34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15EC0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带智能座舱情感识别、高级驾驶辅助的公务车投标，未来需AI风险备案与可解释性证明。</w:t>
            </w:r>
          </w:p>
        </w:tc>
        <w:tc>
          <w:tcPr>
            <w:tcW w:w="2900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FA248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提前建立AI合规档案（训练数据、风险评估、可解释性、人类监督记录），将智能化转为可以被证明的差异化卖点。</w:t>
            </w:r>
          </w:p>
        </w:tc>
        <w:tc>
          <w:tcPr>
            <w:tcW w:w="858" w:type="dxa"/>
            <w:tcBorders>
              <w:top w:val="single" w:sz="0" w:space="0" w:color="888888"/>
              <w:left w:val="single" w:sz="0" w:space="0" w:color="888888"/>
              <w:bottom w:val="single" w:sz="0" w:space="0" w:color="888888"/>
              <w:right w:val="single" w:sz="0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D9455" w14:textId="77777777" w:rsidR="001918C0" w:rsidRDefault="00000000">
            <w:pPr>
              <w:spacing w:line="250" w:lineRule="auto"/>
              <w:rPr>
                <w:rFonts w:asciiTheme="minorEastAsia" w:eastAsiaTheme="minorEastAsia" w:hAnsiTheme="minorEastAsia" w:cstheme="minorEastAsia" w:hint="eastAsia"/>
                <w:color w:val="000000" w:themeColor="text1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  <w:szCs w:val="24"/>
              </w:rPr>
              <w:t>S18/S19</w:t>
            </w:r>
          </w:p>
        </w:tc>
      </w:tr>
    </w:tbl>
    <w:p w14:paraId="2AF2278F" w14:textId="77777777" w:rsidR="001918C0" w:rsidRDefault="001918C0">
      <w:pPr>
        <w:spacing w:after="120" w:line="300" w:lineRule="auto"/>
        <w:rPr>
          <w:rFonts w:asciiTheme="minorEastAsia" w:eastAsiaTheme="minorEastAsia" w:hAnsiTheme="minorEastAsia" w:cstheme="minorEastAsia" w:hint="eastAsia"/>
          <w:color w:val="000000" w:themeColor="text1"/>
          <w:sz w:val="22"/>
          <w:szCs w:val="22"/>
        </w:rPr>
      </w:pPr>
    </w:p>
    <w:p w14:paraId="2BDC29A4" w14:textId="77777777" w:rsidR="001918C0" w:rsidRDefault="00000000">
      <w:pPr>
        <w:spacing w:after="200" w:line="300" w:lineRule="auto"/>
        <w:rPr>
          <w:rFonts w:asciiTheme="minorEastAsia" w:eastAsiaTheme="minorEastAsia" w:hAnsiTheme="minorEastAsia" w:cstheme="minorEastAsia" w:hint="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 w:val="24"/>
          <w:szCs w:val="24"/>
        </w:rPr>
        <w:t>残值（柠檬市场）、机构背书（Euro NCAP / ADAC）、数据合规（R155 / 数据法案 / AI Act）实为同一问题的三个方面：</w:t>
      </w:r>
      <w:r>
        <w:rPr>
          <w:rFonts w:asciiTheme="minorEastAsia" w:eastAsiaTheme="minorEastAsia" w:hAnsiTheme="minorEastAsia" w:cstheme="minorEastAsia" w:hint="eastAsia"/>
          <w:b/>
          <w:bCs/>
          <w:color w:val="000000" w:themeColor="text1"/>
          <w:sz w:val="24"/>
          <w:szCs w:val="24"/>
        </w:rPr>
        <w:t>欧洲市场对中国车的信任问题。</w:t>
      </w:r>
      <w:r>
        <w:rPr>
          <w:rFonts w:asciiTheme="minorEastAsia" w:eastAsiaTheme="minorEastAsia" w:hAnsiTheme="minorEastAsia" w:cstheme="minorEastAsia" w:hint="eastAsia"/>
          <w:color w:val="000000" w:themeColor="text1"/>
          <w:sz w:val="24"/>
          <w:szCs w:val="24"/>
        </w:rPr>
        <w:t xml:space="preserve"> 能否把“看不见的信任”转化为“可验证的证据”——五星碰撞成绩、透明残值、数据驻留欧洲、网络安全证书——将直接决定中国车企在海外政企招标中的竞争力。</w:t>
      </w:r>
    </w:p>
    <w:p w14:paraId="04B2AB59" w14:textId="77777777" w:rsidR="001918C0" w:rsidRDefault="001918C0">
      <w:pPr>
        <w:sectPr w:rsidR="001918C0">
          <w:pgSz w:w="16838" w:h="11906" w:orient="landscape"/>
          <w:pgMar w:top="1200" w:right="1440" w:bottom="1200" w:left="1440" w:header="708" w:footer="708" w:gutter="0"/>
          <w:cols w:space="720"/>
          <w:docGrid w:linePitch="360"/>
        </w:sectPr>
      </w:pPr>
    </w:p>
    <w:p w14:paraId="104B71BA" w14:textId="77777777" w:rsidR="001918C0" w:rsidRDefault="00000000">
      <w:pPr>
        <w:pStyle w:val="1"/>
      </w:pPr>
      <w:r>
        <w:lastRenderedPageBreak/>
        <w:t>来源</w:t>
      </w:r>
    </w:p>
    <w:p w14:paraId="00E78232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S1｜</w:t>
      </w:r>
      <w:r>
        <w:rPr>
          <w:sz w:val="19"/>
          <w:szCs w:val="19"/>
        </w:rPr>
        <w:t xml:space="preserve">Euronews｜Chinese carmakers double EU market share (2026-05)  </w:t>
      </w:r>
      <w:r>
        <w:rPr>
          <w:color w:val="808080"/>
          <w:sz w:val="16"/>
          <w:szCs w:val="16"/>
        </w:rPr>
        <w:t>https://www.euronews.com/business/2026/05/27/chinese-carmakers-double-eu-market-share-as-evs-drive-sales-growth</w:t>
      </w:r>
    </w:p>
    <w:p w14:paraId="38FE400E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S2｜</w:t>
      </w:r>
      <w:r>
        <w:rPr>
          <w:sz w:val="19"/>
          <w:szCs w:val="19"/>
        </w:rPr>
        <w:t xml:space="preserve">Automotive News / JATO｜Chinese brands Europe share 2026  </w:t>
      </w:r>
      <w:r>
        <w:rPr>
          <w:color w:val="808080"/>
          <w:sz w:val="16"/>
          <w:szCs w:val="16"/>
        </w:rPr>
        <w:t>https://www.autonews.com/retail/sales/ane-europe-chinese-february-2026-2-months-0318/</w:t>
      </w:r>
    </w:p>
    <w:p w14:paraId="3B06A6FE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S3｜</w:t>
      </w:r>
      <w:r>
        <w:rPr>
          <w:sz w:val="19"/>
          <w:szCs w:val="19"/>
        </w:rPr>
        <w:t xml:space="preserve">ACEA｜EU new car registrations by power source  </w:t>
      </w:r>
      <w:r>
        <w:rPr>
          <w:color w:val="808080"/>
          <w:sz w:val="16"/>
          <w:szCs w:val="16"/>
        </w:rPr>
        <w:t>https://www.acea.auto/pc-registrations/</w:t>
      </w:r>
    </w:p>
    <w:p w14:paraId="58B8A35F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S4｜</w:t>
      </w:r>
      <w:r>
        <w:rPr>
          <w:sz w:val="19"/>
          <w:szCs w:val="19"/>
        </w:rPr>
        <w:t xml:space="preserve">Autovista24｜Residual values in Europe (2025 %RV by drivetrain)  </w:t>
      </w:r>
      <w:r>
        <w:rPr>
          <w:color w:val="808080"/>
          <w:sz w:val="16"/>
          <w:szCs w:val="16"/>
        </w:rPr>
        <w:t>https://autovista24.autovistagroup.com/news/mmu-residual-values-in-europe-endure-multiple-influences/</w:t>
      </w:r>
    </w:p>
    <w:p w14:paraId="48E6101D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S5｜</w:t>
      </w:r>
      <w:r>
        <w:rPr>
          <w:sz w:val="19"/>
          <w:szCs w:val="19"/>
        </w:rPr>
        <w:t xml:space="preserve">Autovista24｜2026 residual value outlook  </w:t>
      </w:r>
      <w:r>
        <w:rPr>
          <w:color w:val="808080"/>
          <w:sz w:val="16"/>
          <w:szCs w:val="16"/>
        </w:rPr>
        <w:t>https://autovista24.autovistagroup.com/news/2026-residual-value-outlook-regional-shifts-and-trends/</w:t>
      </w:r>
    </w:p>
    <w:p w14:paraId="53FD3F14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S6｜</w:t>
      </w:r>
      <w:r>
        <w:rPr>
          <w:sz w:val="19"/>
          <w:szCs w:val="19"/>
        </w:rPr>
        <w:t xml:space="preserve">Cox Automotive｜EV vs ICE depreciation &amp; residual values  </w:t>
      </w:r>
      <w:r>
        <w:rPr>
          <w:color w:val="808080"/>
          <w:sz w:val="16"/>
          <w:szCs w:val="16"/>
        </w:rPr>
        <w:t>https://www.coxautoinc.eu/ev-hub/industry-ev-hub/resources/ev-vs-ice-depreciation-and-residual-values-explained/</w:t>
      </w:r>
    </w:p>
    <w:p w14:paraId="713622E3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S7｜</w:t>
      </w:r>
      <w:r>
        <w:rPr>
          <w:sz w:val="19"/>
          <w:szCs w:val="19"/>
        </w:rPr>
        <w:t xml:space="preserve">Euro NCAP｜Protocols &amp; safety ratings（配合 ADAC Pannenstatistik）  </w:t>
      </w:r>
      <w:r>
        <w:rPr>
          <w:color w:val="808080"/>
          <w:sz w:val="16"/>
          <w:szCs w:val="16"/>
        </w:rPr>
        <w:t>https://www.euroncap.com/protocols/</w:t>
      </w:r>
    </w:p>
    <w:p w14:paraId="2F1D0630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S8｜</w:t>
      </w:r>
      <w:r>
        <w:rPr>
          <w:sz w:val="19"/>
          <w:szCs w:val="19"/>
        </w:rPr>
        <w:t xml:space="preserve">ECFR｜Security recall: the risk of Chinese EVs in Europe  </w:t>
      </w:r>
      <w:r>
        <w:rPr>
          <w:color w:val="808080"/>
          <w:sz w:val="16"/>
          <w:szCs w:val="16"/>
        </w:rPr>
        <w:t>https://ecfr.eu/article/security-recall-the-risk-of-chinese-electric-vehicles-in-europe/</w:t>
      </w:r>
    </w:p>
    <w:p w14:paraId="4B6C63C1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S9｜</w:t>
      </w:r>
      <w:r>
        <w:rPr>
          <w:sz w:val="19"/>
          <w:szCs w:val="19"/>
        </w:rPr>
        <w:t xml:space="preserve">MERICS｜Europe's vehicle-data gap  </w:t>
      </w:r>
      <w:r>
        <w:rPr>
          <w:color w:val="808080"/>
          <w:sz w:val="16"/>
          <w:szCs w:val="16"/>
        </w:rPr>
        <w:t>https://merics.org/en/comment/europes-vehicle-data-gap-how-under-regulation-gives-chinese-carmakers-edge</w:t>
      </w:r>
    </w:p>
    <w:p w14:paraId="66711BF3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S10｜</w:t>
      </w:r>
      <w:r>
        <w:rPr>
          <w:sz w:val="19"/>
          <w:szCs w:val="19"/>
        </w:rPr>
        <w:t xml:space="preserve">EU Publications Office｜Romania 8 e-buses + charging (awarded 2026-01)  </w:t>
      </w:r>
      <w:r>
        <w:rPr>
          <w:color w:val="808080"/>
          <w:sz w:val="16"/>
          <w:szCs w:val="16"/>
        </w:rPr>
        <w:t>https://op.europa.eu/en/web/public-procurement/procurement-details/-/procurement/04e007bb-7639-41f9-aac2-69201d1435d1</w:t>
      </w:r>
    </w:p>
    <w:p w14:paraId="47F617BE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S11｜</w:t>
      </w:r>
      <w:r>
        <w:rPr>
          <w:sz w:val="19"/>
          <w:szCs w:val="19"/>
        </w:rPr>
        <w:t xml:space="preserve">GOV.UK Find a Tender｜Coventry Electric Bus City  </w:t>
      </w:r>
      <w:r>
        <w:rPr>
          <w:color w:val="808080"/>
          <w:sz w:val="16"/>
          <w:szCs w:val="16"/>
        </w:rPr>
        <w:t>https://www.find-tender.service.gov.uk/procurement/ocds-h6vhtk-059e54</w:t>
      </w:r>
    </w:p>
    <w:p w14:paraId="04EB36D6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S12｜</w:t>
      </w:r>
      <w:r>
        <w:rPr>
          <w:sz w:val="19"/>
          <w:szCs w:val="19"/>
        </w:rPr>
        <w:t xml:space="preserve">EU Publications Office｜Charging equipment for e-buses (Switzerland)  </w:t>
      </w:r>
      <w:r>
        <w:rPr>
          <w:color w:val="808080"/>
          <w:sz w:val="16"/>
          <w:szCs w:val="16"/>
        </w:rPr>
        <w:t>https://op.europa.eu/en/web/public-procurement/procurement-details/-/procurement/4ee8c6b7-88fd-4556-9135-550a9c7cd99c</w:t>
      </w:r>
    </w:p>
    <w:p w14:paraId="533A0C7D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S13｜</w:t>
      </w:r>
      <w:r>
        <w:rPr>
          <w:sz w:val="19"/>
          <w:szCs w:val="19"/>
        </w:rPr>
        <w:t xml:space="preserve">Mobility Portal｜Italian municipality €34M e-bus tender  </w:t>
      </w:r>
      <w:r>
        <w:rPr>
          <w:color w:val="808080"/>
          <w:sz w:val="16"/>
          <w:szCs w:val="16"/>
        </w:rPr>
        <w:t>https://mobilityportal.eu/italian-launches-electric-bus-tender/</w:t>
      </w:r>
    </w:p>
    <w:p w14:paraId="114FDEBA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S14｜</w:t>
      </w:r>
      <w:r>
        <w:rPr>
          <w:sz w:val="19"/>
          <w:szCs w:val="19"/>
        </w:rPr>
        <w:t xml:space="preserve">Eurocities｜Buying zero-emission buses (procurement &amp; funding window)  </w:t>
      </w:r>
      <w:r>
        <w:rPr>
          <w:color w:val="808080"/>
          <w:sz w:val="16"/>
          <w:szCs w:val="16"/>
        </w:rPr>
        <w:t>https://eurocities.eu/latest/buying-zero-emission-buses-procurement-that-reshapes-operations-and-infrastructure/</w:t>
      </w:r>
    </w:p>
    <w:p w14:paraId="6B363BE4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S15｜</w:t>
      </w:r>
      <w:r>
        <w:rPr>
          <w:sz w:val="19"/>
          <w:szCs w:val="19"/>
        </w:rPr>
        <w:t xml:space="preserve">UNECE｜UN Regulation No.155 (Cybersecurity/CSMS) 官方原文  </w:t>
      </w:r>
      <w:r>
        <w:rPr>
          <w:color w:val="808080"/>
          <w:sz w:val="16"/>
          <w:szCs w:val="16"/>
        </w:rPr>
        <w:t>https://unece.org/sites/default/files/2023-02/R155e%20(2).pdf</w:t>
      </w:r>
    </w:p>
    <w:p w14:paraId="0786B99F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lastRenderedPageBreak/>
        <w:t>S16｜</w:t>
      </w:r>
      <w:r>
        <w:rPr>
          <w:sz w:val="19"/>
          <w:szCs w:val="19"/>
        </w:rPr>
        <w:t xml:space="preserve">Mayer Brown｜The EU Data Act has taken effect — automotive focus  </w:t>
      </w:r>
      <w:r>
        <w:rPr>
          <w:color w:val="808080"/>
          <w:sz w:val="16"/>
          <w:szCs w:val="16"/>
        </w:rPr>
        <w:t>https://www.mayerbrown.com/en/insights/publications/2025/11/the-eu-data-act-has-taken-effect-focus-on-automotive-and-cloud-providers</w:t>
      </w:r>
    </w:p>
    <w:p w14:paraId="4C238A25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S17｜</w:t>
      </w:r>
      <w:r>
        <w:rPr>
          <w:sz w:val="19"/>
          <w:szCs w:val="19"/>
        </w:rPr>
        <w:t xml:space="preserve">European Commission｜Guidance on vehicle data (Data Act)  </w:t>
      </w:r>
      <w:r>
        <w:rPr>
          <w:color w:val="808080"/>
          <w:sz w:val="16"/>
          <w:szCs w:val="16"/>
        </w:rPr>
        <w:t>https://digital-strategy.ec.europa.eu/en/library/guidance-vehicle-data-accompanying-data-act</w:t>
      </w:r>
    </w:p>
    <w:p w14:paraId="25139F38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S18｜</w:t>
      </w:r>
      <w:r>
        <w:rPr>
          <w:sz w:val="19"/>
          <w:szCs w:val="19"/>
        </w:rPr>
        <w:t xml:space="preserve">European Commission｜Navigating the AI Act  </w:t>
      </w:r>
      <w:r>
        <w:rPr>
          <w:color w:val="808080"/>
          <w:sz w:val="16"/>
          <w:szCs w:val="16"/>
        </w:rPr>
        <w:t>https://digital-strategy.ec.europa.eu/en/faqs/navigating-ai-act</w:t>
      </w:r>
    </w:p>
    <w:p w14:paraId="7EF9BBCD" w14:textId="77777777" w:rsidR="001918C0" w:rsidRDefault="00000000">
      <w:pPr>
        <w:spacing w:after="60" w:line="280" w:lineRule="auto"/>
      </w:pPr>
      <w:r>
        <w:rPr>
          <w:b/>
          <w:bCs/>
          <w:color w:val="2E75B6"/>
          <w:sz w:val="19"/>
          <w:szCs w:val="19"/>
        </w:rPr>
        <w:t>S19｜</w:t>
      </w:r>
      <w:r>
        <w:rPr>
          <w:sz w:val="19"/>
          <w:szCs w:val="19"/>
        </w:rPr>
        <w:t xml:space="preserve">Trilateral Research｜EU AI Act implementation timeline (risk tiers)  </w:t>
      </w:r>
      <w:r>
        <w:rPr>
          <w:color w:val="808080"/>
          <w:sz w:val="16"/>
          <w:szCs w:val="16"/>
        </w:rPr>
        <w:t>https://trilateralresearch.com/responsible-ai/eu-ai-act-implementation-timeline-mapping-your-models-to-the-new-risk-tiers</w:t>
      </w:r>
    </w:p>
    <w:sectPr w:rsidR="001918C0">
      <w:pgSz w:w="16838" w:h="11906" w:orient="landscape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C0"/>
    <w:rsid w:val="001918C0"/>
    <w:rsid w:val="0043567D"/>
    <w:rsid w:val="009401E7"/>
    <w:rsid w:val="5D36D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DBE0B0E-08F6-4431-BF26-2D47B16F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paragraph" w:styleId="1">
    <w:name w:val="heading 1"/>
    <w:next w:val="a"/>
    <w:qFormat/>
    <w:pPr>
      <w:pBdr>
        <w:bottom w:val="single" w:sz="8" w:space="4" w:color="2E75B6"/>
      </w:pBdr>
      <w:spacing w:before="240" w:after="140"/>
      <w:outlineLvl w:val="0"/>
    </w:pPr>
    <w:rPr>
      <w:b/>
      <w:bCs/>
      <w:color w:val="17375E"/>
      <w:sz w:val="27"/>
      <w:szCs w:val="27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note text"/>
    <w:link w:val="a7"/>
    <w:uiPriority w:val="99"/>
    <w:semiHidden/>
    <w:unhideWhenUsed/>
  </w:style>
  <w:style w:type="paragraph" w:styleId="a8">
    <w:name w:val="Normal (Web)"/>
    <w:basedOn w:val="a"/>
    <w:pPr>
      <w:spacing w:beforeAutospacing="1" w:afterAutospacing="1"/>
      <w:jc w:val="left"/>
    </w:pPr>
    <w:rPr>
      <w:rFonts w:cs="Times New Roman"/>
      <w:sz w:val="24"/>
    </w:rPr>
  </w:style>
  <w:style w:type="paragraph" w:styleId="a9">
    <w:name w:val="Title"/>
    <w:qFormat/>
    <w:rPr>
      <w:sz w:val="56"/>
      <w:szCs w:val="56"/>
    </w:rPr>
  </w:style>
  <w:style w:type="character" w:styleId="aa">
    <w:name w:val="Strong"/>
    <w:basedOn w:val="a0"/>
    <w:qFormat/>
    <w:rPr>
      <w:b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character" w:styleId="ac">
    <w:name w:val="Hyperlink"/>
    <w:uiPriority w:val="99"/>
    <w:unhideWhenUsed/>
    <w:rPr>
      <w:color w:val="0563C1"/>
      <w:u w:val="single"/>
    </w:rPr>
  </w:style>
  <w:style w:type="character" w:styleId="ad">
    <w:name w:val="footnote reference"/>
    <w:uiPriority w:val="99"/>
    <w:semiHidden/>
    <w:unhideWhenUsed/>
    <w:rPr>
      <w:vertAlign w:val="superscript"/>
    </w:rPr>
  </w:style>
  <w:style w:type="paragraph" w:styleId="ae">
    <w:name w:val="List Paragraph"/>
    <w:qFormat/>
    <w:rPr>
      <w:sz w:val="21"/>
      <w:szCs w:val="21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1597</Words>
  <Characters>3723</Characters>
  <Application>Microsoft Office Word</Application>
  <DocSecurity>0</DocSecurity>
  <Lines>177</Lines>
  <Paragraphs>126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Yanjun Chen</cp:lastModifiedBy>
  <cp:revision>2</cp:revision>
  <dcterms:created xsi:type="dcterms:W3CDTF">2026-07-03T14:45:00Z</dcterms:created>
  <dcterms:modified xsi:type="dcterms:W3CDTF">2026-07-03T14:45:00Z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37F26AFDB0669535662F476A098B2732_42</vt:lpwstr>
  </property>
</Properties>
</file>