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1F3864"/>
          <w:sz w:val="30"/>
          <w:szCs w:val="30"/>
        </w:rPr>
        <w:t xml:space="preserve">Reasoning Termination, Not Reasoning Capability</w:t>
      </w:r>
    </w:p>
    <w:p>
      <w:pPr>
        <w:spacing w:after="30"/>
        <w:jc w:val="center"/>
      </w:pPr>
      <w:r>
        <w:rPr>
          <w:rFonts w:ascii="Cambria" w:cs="Cambria" w:eastAsia="Cambria" w:hAnsi="Cambria"/>
          <w:i/>
          <w:iCs/>
          <w:color w:val="444444"/>
          <w:sz w:val="21"/>
          <w:szCs w:val="21"/>
        </w:rPr>
        <w:t xml:space="preserve">Budget forcing on VibeThinker-3B, AIME 2025</w:t>
      </w:r>
    </w:p>
    <w:p>
      <w:pPr>
        <w:spacing w:after="130"/>
        <w:jc w:val="center"/>
      </w:pPr>
      <w:r>
        <w:rPr>
          <w:rFonts w:ascii="Cambria" w:cs="Cambria" w:eastAsia="Cambria" w:hAnsi="Cambria"/>
          <w:color w:val="666666"/>
          <w:sz w:val="17"/>
          <w:szCs w:val="17"/>
        </w:rPr>
        <w:t xml:space="preserve">Abu Ahmad  ·  2121725042  ·  CSE 465  ·  North South University</w:t>
      </w:r>
    </w:p>
    <w:p>
      <w:pPr>
        <w:spacing w:after="70" w:before="0"/>
      </w:pPr>
      <w:r>
        <w:rPr>
          <w:rFonts w:ascii="Cambria" w:cs="Cambria" w:eastAsia="Cambria" w:hAnsi="Cambria"/>
          <w:b/>
          <w:bCs/>
          <w:color w:val="1F3864"/>
          <w:sz w:val="20"/>
          <w:szCs w:val="20"/>
        </w:rPr>
        <w:t xml:space="preserve">The finding</w:t>
      </w:r>
    </w:p>
    <w:p>
      <w:pPr>
        <w:spacing w:after="120" w:line="250"/>
        <w:jc w:val="both"/>
      </w:pPr>
      <w:r>
        <w:rPr>
          <w:rFonts w:ascii="Cambria" w:cs="Cambria" w:eastAsia="Cambria" w:hAnsi="Cambria"/>
          <w:b w:val="false"/>
          <w:bCs w:val="false"/>
          <w:i w:val="false"/>
          <w:iCs w:val="false"/>
          <w:color w:val="000000"/>
          <w:sz w:val="19"/>
          <w:szCs w:val="19"/>
        </w:rPr>
        <w:t xml:space="preserve">VibeThinker-3B scores </w:t>
      </w:r>
      <w:r>
        <w:rPr>
          <w:rFonts w:ascii="Cambria" w:cs="Cambria" w:eastAsia="Cambria" w:hAnsi="Cambria"/>
          <w:b/>
          <w:bCs/>
          <w:i w:val="false"/>
          <w:iCs w:val="false"/>
          <w:color w:val="000000"/>
          <w:sz w:val="19"/>
          <w:szCs w:val="19"/>
        </w:rPr>
        <w:t xml:space="preserve">91.4</w:t>
      </w:r>
      <w:r>
        <w:rPr>
          <w:rFonts w:ascii="Cambria" w:cs="Cambria" w:eastAsia="Cambria" w:hAnsi="Cambria"/>
          <w:b w:val="false"/>
          <w:bCs w:val="false"/>
          <w:i w:val="false"/>
          <w:iCs w:val="false"/>
          <w:color w:val="000000"/>
          <w:sz w:val="19"/>
          <w:szCs w:val="19"/>
        </w:rPr>
        <w:t xml:space="preserve"> on AIME 2025 in its paper; we reproduced </w:t>
      </w:r>
      <w:r>
        <w:rPr>
          <w:rFonts w:ascii="Cambria" w:cs="Cambria" w:eastAsia="Cambria" w:hAnsi="Cambria"/>
          <w:b/>
          <w:bCs/>
          <w:i w:val="false"/>
          <w:iCs w:val="false"/>
          <w:color w:val="000000"/>
          <w:sz w:val="19"/>
          <w:szCs w:val="19"/>
        </w:rPr>
        <w:t xml:space="preserve">80.8</w:t>
      </w:r>
      <w:r>
        <w:rPr>
          <w:rFonts w:ascii="Cambria" w:cs="Cambria" w:eastAsia="Cambria" w:hAnsi="Cambria"/>
          <w:b w:val="false"/>
          <w:bCs w:val="false"/>
          <w:i w:val="false"/>
          <w:iCs w:val="false"/>
          <w:color w:val="000000"/>
          <w:sz w:val="19"/>
          <w:szCs w:val="19"/>
        </w:rPr>
        <w:t xml:space="preserve">. The gap is not weaker reasoning — the model solves the problem and then never writes the answer down. Of 120 sampled attempts, essentially every one that finished was correct, while every one cut off by the token budget scored zero for want of a boxed answer. Across 1,200 sample-budget observations the model volunteered </w:t>
      </w:r>
      <w:r>
        <w:rPr>
          <w:rFonts w:ascii="Cambria" w:cs="Cambria" w:eastAsia="Cambria" w:hAnsi="Cambria"/>
          <w:b/>
          <w:bCs/>
          <w:i w:val="false"/>
          <w:iCs w:val="false"/>
          <w:color w:val="000000"/>
          <w:sz w:val="19"/>
          <w:szCs w:val="19"/>
        </w:rPr>
        <w:t xml:space="preserve">exactly one wrong answer</w:t>
      </w:r>
      <w:r>
        <w:rPr>
          <w:rFonts w:ascii="Cambria" w:cs="Cambria" w:eastAsia="Cambria" w:hAnsi="Cambria"/>
          <w:b w:val="false"/>
          <w:bCs w:val="false"/>
          <w:i w:val="false"/>
          <w:iCs w:val="false"/>
          <w:color w:val="000000"/>
          <w:sz w:val="19"/>
          <w:szCs w:val="19"/>
        </w:rPr>
        <w:t xml:space="preserve">: it states the correct answer or states nothing at all. Interrupting it at the budget and forcing it to commit recovers </w:t>
      </w:r>
      <w:r>
        <w:rPr>
          <w:rFonts w:ascii="Cambria" w:cs="Cambria" w:eastAsia="Cambria" w:hAnsi="Cambria"/>
          <w:b/>
          <w:bCs/>
          <w:i w:val="false"/>
          <w:iCs w:val="false"/>
          <w:color w:val="000000"/>
          <w:sz w:val="19"/>
          <w:szCs w:val="19"/>
        </w:rPr>
        <w:t xml:space="preserve">7 to 13 points</w:t>
      </w:r>
      <w:r>
        <w:rPr>
          <w:rFonts w:ascii="Cambria" w:cs="Cambria" w:eastAsia="Cambria" w:hAnsi="Cambria"/>
          <w:b w:val="false"/>
          <w:bCs w:val="false"/>
          <w:i w:val="false"/>
          <w:iCs w:val="false"/>
          <w:color w:val="000000"/>
          <w:sz w:val="19"/>
          <w:szCs w:val="19"/>
        </w:rPr>
        <w:t xml:space="preserve">, has </w:t>
      </w:r>
      <w:r>
        <w:rPr>
          <w:rFonts w:ascii="Cambria" w:cs="Cambria" w:eastAsia="Cambria" w:hAnsi="Cambria"/>
          <w:b/>
          <w:bCs/>
          <w:i w:val="false"/>
          <w:iCs w:val="false"/>
          <w:color w:val="1D7A4D"/>
          <w:sz w:val="19"/>
          <w:szCs w:val="19"/>
        </w:rPr>
        <w:t xml:space="preserve">never</w:t>
      </w:r>
      <w:r>
        <w:rPr>
          <w:rFonts w:ascii="Cambria" w:cs="Cambria" w:eastAsia="Cambria" w:hAnsi="Cambria"/>
          <w:b w:val="false"/>
          <w:bCs w:val="false"/>
          <w:i w:val="false"/>
          <w:iCs w:val="false"/>
          <w:color w:val="000000"/>
          <w:sz w:val="19"/>
          <w:szCs w:val="19"/>
        </w:rPr>
        <w:t xml:space="preserve"> destroyed a correct answer, and costs about five tokens.</w:t>
      </w:r>
    </w:p>
    <w:p>
      <w:pPr>
        <w:spacing w:after="50"/>
        <w:jc w:val="center"/>
      </w:pPr>
      <w:r>
        <w:drawing>
          <wp:inline distT="0" distB="0" distL="0" distR="0">
            <wp:extent cx="485775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857750" cy="3781425"/>
                    </a:xfrm>
                    <a:prstGeom prst="rect">
                      <a:avLst/>
                    </a:prstGeom>
                  </pic:spPr>
                </pic:pic>
              </a:graphicData>
            </a:graphic>
          </wp:inline>
        </w:drawing>
      </w:r>
    </w:p>
    <w:p>
      <w:pPr>
        <w:spacing w:after="40"/>
        <w:jc w:val="center"/>
      </w:pPr>
      <w:r>
        <w:rPr>
          <w:rFonts w:ascii="Cambria" w:cs="Cambria" w:eastAsia="Cambria" w:hAnsi="Cambria"/>
          <w:i/>
          <w:iCs/>
          <w:color w:val="444444"/>
          <w:sz w:val="16"/>
          <w:szCs w:val="16"/>
        </w:rPr>
        <w:t xml:space="preserve">Top: accuracy rises with the token budget as truncation falls — mirror images. Bottom: forcing converts the amber “no answer” block into correct and wrong, and the green never shrinks.</w:t>
      </w:r>
    </w:p>
    <w:p>
      <w:pPr>
        <w:spacing w:after="70" w:before="140"/>
      </w:pPr>
      <w:r>
        <w:rPr>
          <w:rFonts w:ascii="Cambria" w:cs="Cambria" w:eastAsia="Cambria" w:hAnsi="Cambria"/>
          <w:b/>
          <w:bCs/>
          <w:color w:val="1F3864"/>
          <w:sz w:val="20"/>
          <w:szCs w:val="20"/>
        </w:rPr>
        <w:t xml:space="preserve">Table 1  ·  Main result</w:t>
      </w:r>
    </w:p>
    <w:tbl>
      <w:tblPr>
        <w:tblW w:type="dxa" w:w="8050"/>
        <w:tblBorders>
          <w:top w:val="single" w:color="7A8798" w:sz="6"/>
          <w:left w:val="single" w:color="C3CBD6" w:sz="2"/>
          <w:bottom w:val="single" w:color="7A8798" w:sz="6"/>
          <w:right w:val="single" w:color="C3CBD6" w:sz="2"/>
          <w:insideH w:val="single" w:color="C3CBD6" w:sz="2"/>
          <w:insideV w:val="single" w:color="C3CBD6" w:sz="2"/>
        </w:tblBorders>
      </w:tblPr>
      <w:tblGrid>
        <w:gridCol w:w="1500"/>
        <w:gridCol w:w="1750"/>
        <w:gridCol w:w="1750"/>
        <w:gridCol w:w="1300"/>
        <w:gridCol w:w="1750"/>
      </w:tblGrid>
      <w:tr>
        <w:tc>
          <w:tcPr>
            <w:tcW w:type="dxa" w:w="1500"/>
            <w:shd w:fill="E8EEF7" w:val="clear"/>
            <w:tcMar>
              <w:top w:type="dxa" w:w="40"/>
              <w:left w:type="dxa" w:w="80"/>
              <w:bottom w:type="dxa" w:w="40"/>
              <w:right w:type="dxa" w:w="80"/>
            </w:tcMar>
          </w:tcPr>
          <w:p>
            <w:pPr>
              <w:spacing w:after="0" w:line="220"/>
              <w:jc w:val="left"/>
            </w:pPr>
            <w:r>
              <w:rPr>
                <w:rFonts w:ascii="Cambria" w:cs="Cambria" w:eastAsia="Cambria" w:hAnsi="Cambria"/>
                <w:b/>
                <w:bCs/>
                <w:color w:val="000000"/>
                <w:sz w:val="18"/>
                <w:szCs w:val="18"/>
              </w:rPr>
              <w:t xml:space="preserve">Budget</w:t>
            </w:r>
          </w:p>
        </w:tc>
        <w:tc>
          <w:tcPr>
            <w:tcW w:type="dxa" w:w="17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No forcing</w:t>
            </w:r>
          </w:p>
        </w:tc>
        <w:tc>
          <w:tcPr>
            <w:tcW w:type="dxa" w:w="17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 Forcing</w:t>
            </w:r>
          </w:p>
        </w:tc>
        <w:tc>
          <w:tcPr>
            <w:tcW w:type="dxa" w:w="130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Gain</w:t>
            </w:r>
          </w:p>
        </w:tc>
        <w:tc>
          <w:tcPr>
            <w:tcW w:type="dxa" w:w="17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McNemar p</w:t>
            </w:r>
          </w:p>
        </w:tc>
      </w:tr>
      <w:tr>
        <w:tc>
          <w:tcPr>
            <w:tcW w:type="dxa" w:w="15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4k</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27.5%</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40.8%</w:t>
            </w:r>
          </w:p>
        </w:tc>
        <w:tc>
          <w:tcPr>
            <w:tcW w:type="dxa" w:w="130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+13.3</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w:t>
            </w:r>
          </w:p>
        </w:tc>
      </w:tr>
      <w:tr>
        <w:tc>
          <w:tcPr>
            <w:tcW w:type="dxa" w:w="1500"/>
            <w:tcMar>
              <w:top w:type="dxa" w:w="40"/>
              <w:left w:type="dxa" w:w="80"/>
              <w:bottom w:type="dxa" w:w="40"/>
              <w:right w:type="dxa" w:w="80"/>
            </w:tcMar>
          </w:tcPr>
          <w:p>
            <w:pPr>
              <w:spacing w:after="0" w:line="220"/>
              <w:jc w:val="left"/>
            </w:pPr>
            <w:r>
              <w:rPr>
                <w:rFonts w:ascii="Cambria" w:cs="Cambria" w:eastAsia="Cambria" w:hAnsi="Cambria"/>
                <w:b/>
                <w:bCs/>
                <w:color w:val="000000"/>
                <w:sz w:val="18"/>
                <w:szCs w:val="18"/>
              </w:rPr>
              <w:t xml:space="preserve">8k</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46.7%</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55.8%</w:t>
            </w:r>
          </w:p>
        </w:tc>
        <w:tc>
          <w:tcPr>
            <w:tcW w:type="dxa" w:w="1300"/>
            <w:tcMar>
              <w:top w:type="dxa" w:w="40"/>
              <w:left w:type="dxa" w:w="80"/>
              <w:bottom w:type="dxa" w:w="40"/>
              <w:right w:type="dxa" w:w="80"/>
            </w:tcMar>
          </w:tcPr>
          <w:p>
            <w:pPr>
              <w:spacing w:after="0" w:line="220"/>
              <w:jc w:val="center"/>
            </w:pPr>
            <w:r>
              <w:rPr>
                <w:rFonts w:ascii="Cambria" w:cs="Cambria" w:eastAsia="Cambria" w:hAnsi="Cambria"/>
                <w:b/>
                <w:bCs/>
                <w:color w:val="1D7A4D"/>
                <w:sz w:val="18"/>
                <w:szCs w:val="18"/>
              </w:rPr>
              <w:t xml:space="preserve">+9.1</w:t>
            </w:r>
          </w:p>
        </w:tc>
        <w:tc>
          <w:tcPr>
            <w:tcW w:type="dxa" w:w="1750"/>
            <w:tcMar>
              <w:top w:type="dxa" w:w="40"/>
              <w:left w:type="dxa" w:w="80"/>
              <w:bottom w:type="dxa" w:w="40"/>
              <w:right w:type="dxa" w:w="80"/>
            </w:tcMar>
          </w:tcPr>
          <w:p>
            <w:pPr>
              <w:spacing w:after="0" w:line="220"/>
              <w:jc w:val="center"/>
            </w:pPr>
            <w:r>
              <w:rPr>
                <w:rFonts w:ascii="Consolas" w:cs="Consolas" w:eastAsia="Consolas" w:hAnsi="Consolas"/>
                <w:b/>
                <w:bCs/>
                <w:color w:val="000000"/>
                <w:sz w:val="18"/>
                <w:szCs w:val="18"/>
              </w:rPr>
              <w:t xml:space="preserve">0.0026</w:t>
            </w:r>
          </w:p>
        </w:tc>
      </w:tr>
      <w:tr>
        <w:tc>
          <w:tcPr>
            <w:tcW w:type="dxa" w:w="1500"/>
            <w:tcMar>
              <w:top w:type="dxa" w:w="40"/>
              <w:left w:type="dxa" w:w="80"/>
              <w:bottom w:type="dxa" w:w="40"/>
              <w:right w:type="dxa" w:w="80"/>
            </w:tcMar>
          </w:tcPr>
          <w:p>
            <w:pPr>
              <w:spacing w:after="0" w:line="220"/>
              <w:jc w:val="left"/>
            </w:pPr>
            <w:r>
              <w:rPr>
                <w:rFonts w:ascii="Cambria" w:cs="Cambria" w:eastAsia="Cambria" w:hAnsi="Cambria"/>
                <w:b/>
                <w:bCs/>
                <w:color w:val="000000"/>
                <w:sz w:val="18"/>
                <w:szCs w:val="18"/>
              </w:rPr>
              <w:t xml:space="preserve">16k</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63.3%</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70.8%</w:t>
            </w:r>
          </w:p>
        </w:tc>
        <w:tc>
          <w:tcPr>
            <w:tcW w:type="dxa" w:w="1300"/>
            <w:tcMar>
              <w:top w:type="dxa" w:w="40"/>
              <w:left w:type="dxa" w:w="80"/>
              <w:bottom w:type="dxa" w:w="40"/>
              <w:right w:type="dxa" w:w="80"/>
            </w:tcMar>
          </w:tcPr>
          <w:p>
            <w:pPr>
              <w:spacing w:after="0" w:line="220"/>
              <w:jc w:val="center"/>
            </w:pPr>
            <w:r>
              <w:rPr>
                <w:rFonts w:ascii="Cambria" w:cs="Cambria" w:eastAsia="Cambria" w:hAnsi="Cambria"/>
                <w:b/>
                <w:bCs/>
                <w:color w:val="1D7A4D"/>
                <w:sz w:val="18"/>
                <w:szCs w:val="18"/>
              </w:rPr>
              <w:t xml:space="preserve">+7.5</w:t>
            </w:r>
          </w:p>
        </w:tc>
        <w:tc>
          <w:tcPr>
            <w:tcW w:type="dxa" w:w="1750"/>
            <w:tcMar>
              <w:top w:type="dxa" w:w="40"/>
              <w:left w:type="dxa" w:w="80"/>
              <w:bottom w:type="dxa" w:w="40"/>
              <w:right w:type="dxa" w:w="80"/>
            </w:tcMar>
          </w:tcPr>
          <w:p>
            <w:pPr>
              <w:spacing w:after="0" w:line="220"/>
              <w:jc w:val="center"/>
            </w:pPr>
            <w:r>
              <w:rPr>
                <w:rFonts w:ascii="Consolas" w:cs="Consolas" w:eastAsia="Consolas" w:hAnsi="Consolas"/>
                <w:b/>
                <w:bCs/>
                <w:color w:val="000000"/>
                <w:sz w:val="18"/>
                <w:szCs w:val="18"/>
              </w:rPr>
              <w:t xml:space="preserve">0.0077</w:t>
            </w:r>
          </w:p>
        </w:tc>
      </w:tr>
      <w:tr>
        <w:tc>
          <w:tcPr>
            <w:tcW w:type="dxa" w:w="15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32k</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80.8%</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not run</w:t>
            </w:r>
          </w:p>
        </w:tc>
        <w:tc>
          <w:tcPr>
            <w:tcW w:type="dxa" w:w="130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w:t>
            </w:r>
          </w:p>
        </w:tc>
      </w:tr>
    </w:tbl>
    <w:p>
      <w:pPr>
        <w:spacing w:after="70" w:before="140"/>
      </w:pPr>
      <w:r>
        <w:rPr>
          <w:rFonts w:ascii="Cambria" w:cs="Cambria" w:eastAsia="Cambria" w:hAnsi="Cambria"/>
          <w:b/>
          <w:bCs/>
          <w:color w:val="1F3864"/>
          <w:sz w:val="20"/>
          <w:szCs w:val="20"/>
        </w:rPr>
        <w:t xml:space="preserve">Table 2  ·  Does forcing ever hurt?</w:t>
      </w:r>
    </w:p>
    <w:tbl>
      <w:tblPr>
        <w:tblW w:type="dxa" w:w="8050"/>
        <w:tblBorders>
          <w:top w:val="single" w:color="7A8798" w:sz="6"/>
          <w:left w:val="single" w:color="C3CBD6" w:sz="2"/>
          <w:bottom w:val="single" w:color="7A8798" w:sz="6"/>
          <w:right w:val="single" w:color="C3CBD6" w:sz="2"/>
          <w:insideH w:val="single" w:color="C3CBD6" w:sz="2"/>
          <w:insideV w:val="single" w:color="C3CBD6" w:sz="2"/>
        </w:tblBorders>
      </w:tblPr>
      <w:tblGrid>
        <w:gridCol w:w="1500"/>
        <w:gridCol w:w="1750"/>
        <w:gridCol w:w="1750"/>
        <w:gridCol w:w="1550"/>
        <w:gridCol w:w="1500"/>
      </w:tblGrid>
      <w:tr>
        <w:tc>
          <w:tcPr>
            <w:tcW w:type="dxa" w:w="1500"/>
            <w:shd w:fill="E8EEF7" w:val="clear"/>
            <w:tcMar>
              <w:top w:type="dxa" w:w="40"/>
              <w:left w:type="dxa" w:w="80"/>
              <w:bottom w:type="dxa" w:w="40"/>
              <w:right w:type="dxa" w:w="80"/>
            </w:tcMar>
          </w:tcPr>
          <w:p>
            <w:pPr>
              <w:spacing w:after="0" w:line="220"/>
              <w:jc w:val="left"/>
            </w:pPr>
            <w:r>
              <w:rPr>
                <w:rFonts w:ascii="Cambria" w:cs="Cambria" w:eastAsia="Cambria" w:hAnsi="Cambria"/>
                <w:b/>
                <w:bCs/>
                <w:color w:val="000000"/>
                <w:sz w:val="18"/>
                <w:szCs w:val="18"/>
              </w:rPr>
              <w:t xml:space="preserve">Budget</w:t>
            </w:r>
          </w:p>
        </w:tc>
        <w:tc>
          <w:tcPr>
            <w:tcW w:type="dxa" w:w="17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Truncated</w:t>
            </w:r>
          </w:p>
        </w:tc>
        <w:tc>
          <w:tcPr>
            <w:tcW w:type="dxa" w:w="17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Rescued</w:t>
            </w:r>
          </w:p>
        </w:tc>
        <w:tc>
          <w:tcPr>
            <w:tcW w:type="dxa" w:w="15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Damaged</w:t>
            </w:r>
          </w:p>
        </w:tc>
        <w:tc>
          <w:tcPr>
            <w:tcW w:type="dxa" w:w="150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p</w:t>
            </w:r>
          </w:p>
        </w:tc>
      </w:tr>
      <w:tr>
        <w:tc>
          <w:tcPr>
            <w:tcW w:type="dxa" w:w="15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8k</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81</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1D7A4D"/>
                <w:sz w:val="18"/>
                <w:szCs w:val="18"/>
              </w:rPr>
              <w:t xml:space="preserve">11</w:t>
            </w:r>
          </w:p>
        </w:tc>
        <w:tc>
          <w:tcPr>
            <w:tcW w:type="dxa" w:w="1550"/>
            <w:shd w:fill="DCEFE4" w:val="clear"/>
            <w:tcMar>
              <w:top w:type="dxa" w:w="40"/>
              <w:left w:type="dxa" w:w="80"/>
              <w:bottom w:type="dxa" w:w="40"/>
              <w:right w:type="dxa" w:w="80"/>
            </w:tcMar>
          </w:tcPr>
          <w:p>
            <w:pPr>
              <w:spacing w:after="0" w:line="220"/>
              <w:jc w:val="center"/>
            </w:pPr>
            <w:r>
              <w:rPr>
                <w:rFonts w:ascii="Cambria" w:cs="Cambria" w:eastAsia="Cambria" w:hAnsi="Cambria"/>
                <w:b/>
                <w:bCs/>
                <w:color w:val="1D7A4D"/>
                <w:sz w:val="18"/>
                <w:szCs w:val="18"/>
              </w:rPr>
              <w:t xml:space="preserve">0</w:t>
            </w:r>
          </w:p>
        </w:tc>
        <w:tc>
          <w:tcPr>
            <w:tcW w:type="dxa" w:w="1500"/>
            <w:tcMar>
              <w:top w:type="dxa" w:w="40"/>
              <w:left w:type="dxa" w:w="80"/>
              <w:bottom w:type="dxa" w:w="40"/>
              <w:right w:type="dxa" w:w="80"/>
            </w:tcMar>
          </w:tcPr>
          <w:p>
            <w:pPr>
              <w:spacing w:after="0" w:line="220"/>
              <w:jc w:val="center"/>
            </w:pPr>
            <w:r>
              <w:rPr>
                <w:rFonts w:ascii="Consolas" w:cs="Consolas" w:eastAsia="Consolas" w:hAnsi="Consolas"/>
                <w:b w:val="false"/>
                <w:bCs w:val="false"/>
                <w:color w:val="000000"/>
                <w:sz w:val="18"/>
                <w:szCs w:val="18"/>
              </w:rPr>
              <w:t xml:space="preserve">0.0026</w:t>
            </w:r>
          </w:p>
        </w:tc>
      </w:tr>
      <w:tr>
        <w:tc>
          <w:tcPr>
            <w:tcW w:type="dxa" w:w="15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16k</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58</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1D7A4D"/>
                <w:sz w:val="18"/>
                <w:szCs w:val="18"/>
              </w:rPr>
              <w:t xml:space="preserve">9</w:t>
            </w:r>
          </w:p>
        </w:tc>
        <w:tc>
          <w:tcPr>
            <w:tcW w:type="dxa" w:w="1550"/>
            <w:shd w:fill="DCEFE4" w:val="clear"/>
            <w:tcMar>
              <w:top w:type="dxa" w:w="40"/>
              <w:left w:type="dxa" w:w="80"/>
              <w:bottom w:type="dxa" w:w="40"/>
              <w:right w:type="dxa" w:w="80"/>
            </w:tcMar>
          </w:tcPr>
          <w:p>
            <w:pPr>
              <w:spacing w:after="0" w:line="220"/>
              <w:jc w:val="center"/>
            </w:pPr>
            <w:r>
              <w:rPr>
                <w:rFonts w:ascii="Cambria" w:cs="Cambria" w:eastAsia="Cambria" w:hAnsi="Cambria"/>
                <w:b/>
                <w:bCs/>
                <w:color w:val="1D7A4D"/>
                <w:sz w:val="18"/>
                <w:szCs w:val="18"/>
              </w:rPr>
              <w:t xml:space="preserve">0</w:t>
            </w:r>
          </w:p>
        </w:tc>
        <w:tc>
          <w:tcPr>
            <w:tcW w:type="dxa" w:w="1500"/>
            <w:tcMar>
              <w:top w:type="dxa" w:w="40"/>
              <w:left w:type="dxa" w:w="80"/>
              <w:bottom w:type="dxa" w:w="40"/>
              <w:right w:type="dxa" w:w="80"/>
            </w:tcMar>
          </w:tcPr>
          <w:p>
            <w:pPr>
              <w:spacing w:after="0" w:line="220"/>
              <w:jc w:val="center"/>
            </w:pPr>
            <w:r>
              <w:rPr>
                <w:rFonts w:ascii="Consolas" w:cs="Consolas" w:eastAsia="Consolas" w:hAnsi="Consolas"/>
                <w:b w:val="false"/>
                <w:bCs w:val="false"/>
                <w:color w:val="000000"/>
                <w:sz w:val="18"/>
                <w:szCs w:val="18"/>
              </w:rPr>
              <w:t xml:space="preserve">0.0077</w:t>
            </w:r>
          </w:p>
        </w:tc>
      </w:tr>
    </w:tbl>
    <w:p>
      <w:pPr>
        <w:spacing w:after="60" w:line="250"/>
        <w:jc w:val="both"/>
      </w:pPr>
      <w:r>
        <w:rPr>
          <w:rFonts w:ascii="Cambria" w:cs="Cambria" w:eastAsia="Cambria" w:hAnsi="Cambria"/>
          <w:b w:val="false"/>
          <w:bCs w:val="false"/>
          <w:i/>
          <w:iCs/>
          <w:color w:val="000000"/>
          <w:sz w:val="17"/>
          <w:szCs w:val="17"/>
        </w:rPr>
        <w:t xml:space="preserve">Zero damage across 139 interventions. Forcing only ever touches a sample that had already failed.</w:t>
      </w:r>
    </w:p>
    <w:p>
      <w:pPr>
        <w:spacing w:after="70" w:before="140"/>
      </w:pPr>
      <w:r>
        <w:rPr>
          <w:rFonts w:ascii="Cambria" w:cs="Cambria" w:eastAsia="Cambria" w:hAnsi="Cambria"/>
          <w:b/>
          <w:bCs/>
          <w:color w:val="1F3864"/>
          <w:sz w:val="20"/>
          <w:szCs w:val="20"/>
        </w:rPr>
        <w:t xml:space="preserve">Table 3  ·  What the 120 samples are made of</w:t>
      </w:r>
    </w:p>
    <w:tbl>
      <w:tblPr>
        <w:tblW w:type="dxa" w:w="8050"/>
        <w:tblBorders>
          <w:top w:val="single" w:color="7A8798" w:sz="6"/>
          <w:left w:val="single" w:color="C3CBD6" w:sz="2"/>
          <w:bottom w:val="single" w:color="7A8798" w:sz="6"/>
          <w:right w:val="single" w:color="C3CBD6" w:sz="2"/>
          <w:insideH w:val="single" w:color="C3CBD6" w:sz="2"/>
          <w:insideV w:val="single" w:color="C3CBD6" w:sz="2"/>
        </w:tblBorders>
      </w:tblPr>
      <w:tblGrid>
        <w:gridCol w:w="2600"/>
        <w:gridCol w:w="1750"/>
        <w:gridCol w:w="1750"/>
        <w:gridCol w:w="1950"/>
      </w:tblGrid>
      <w:tr>
        <w:tc>
          <w:tcPr>
            <w:tcW w:type="dxa" w:w="2600"/>
            <w:shd w:fill="E8EEF7" w:val="clear"/>
            <w:tcMar>
              <w:top w:type="dxa" w:w="40"/>
              <w:left w:type="dxa" w:w="80"/>
              <w:bottom w:type="dxa" w:w="40"/>
              <w:right w:type="dxa" w:w="80"/>
            </w:tcMar>
          </w:tcPr>
          <w:p>
            <w:pPr>
              <w:spacing w:after="0" w:line="220"/>
              <w:jc w:val="left"/>
            </w:pPr>
            <w:r>
              <w:rPr>
                <w:rFonts w:ascii="Cambria" w:cs="Cambria" w:eastAsia="Cambria" w:hAnsi="Cambria"/>
                <w:b/>
                <w:bCs/>
                <w:color w:val="000000"/>
                <w:sz w:val="18"/>
                <w:szCs w:val="18"/>
              </w:rPr>
              <w:t xml:space="preserve">Condition</w:t>
            </w:r>
          </w:p>
        </w:tc>
        <w:tc>
          <w:tcPr>
            <w:tcW w:type="dxa" w:w="17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Correct</w:t>
            </w:r>
          </w:p>
        </w:tc>
        <w:tc>
          <w:tcPr>
            <w:tcW w:type="dxa" w:w="17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Wrong</w:t>
            </w:r>
          </w:p>
        </w:tc>
        <w:tc>
          <w:tcPr>
            <w:tcW w:type="dxa" w:w="1950"/>
            <w:shd w:fill="E8EEF7" w:val="clear"/>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No answer</w:t>
            </w:r>
          </w:p>
        </w:tc>
      </w:tr>
      <w:tr>
        <w:tc>
          <w:tcPr>
            <w:tcW w:type="dxa" w:w="26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8k, no forcing</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56</w:t>
            </w:r>
          </w:p>
        </w:tc>
        <w:tc>
          <w:tcPr>
            <w:tcW w:type="dxa" w:w="1750"/>
            <w:shd w:fill="F7DED8" w:val="clear"/>
            <w:tcMar>
              <w:top w:type="dxa" w:w="40"/>
              <w:left w:type="dxa" w:w="80"/>
              <w:bottom w:type="dxa" w:w="40"/>
              <w:right w:type="dxa" w:w="80"/>
            </w:tcMar>
          </w:tcPr>
          <w:p>
            <w:pPr>
              <w:spacing w:after="0" w:line="220"/>
              <w:jc w:val="center"/>
            </w:pPr>
            <w:r>
              <w:rPr>
                <w:rFonts w:ascii="Cambria" w:cs="Cambria" w:eastAsia="Cambria" w:hAnsi="Cambria"/>
                <w:b/>
                <w:bCs/>
                <w:color w:val="B3341F"/>
                <w:sz w:val="18"/>
                <w:szCs w:val="18"/>
              </w:rPr>
              <w:t xml:space="preserve">0</w:t>
            </w:r>
          </w:p>
        </w:tc>
        <w:tc>
          <w:tcPr>
            <w:tcW w:type="dxa" w:w="19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64</w:t>
            </w:r>
          </w:p>
        </w:tc>
      </w:tr>
      <w:tr>
        <w:tc>
          <w:tcPr>
            <w:tcW w:type="dxa" w:w="26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8k, forced</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67</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53</w:t>
            </w:r>
          </w:p>
        </w:tc>
        <w:tc>
          <w:tcPr>
            <w:tcW w:type="dxa" w:w="19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0</w:t>
            </w:r>
          </w:p>
        </w:tc>
      </w:tr>
      <w:tr>
        <w:tc>
          <w:tcPr>
            <w:tcW w:type="dxa" w:w="26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16k, no forcing</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76</w:t>
            </w:r>
          </w:p>
        </w:tc>
        <w:tc>
          <w:tcPr>
            <w:tcW w:type="dxa" w:w="1750"/>
            <w:shd w:fill="F7DED8" w:val="clear"/>
            <w:tcMar>
              <w:top w:type="dxa" w:w="40"/>
              <w:left w:type="dxa" w:w="80"/>
              <w:bottom w:type="dxa" w:w="40"/>
              <w:right w:type="dxa" w:w="80"/>
            </w:tcMar>
          </w:tcPr>
          <w:p>
            <w:pPr>
              <w:spacing w:after="0" w:line="220"/>
              <w:jc w:val="center"/>
            </w:pPr>
            <w:r>
              <w:rPr>
                <w:rFonts w:ascii="Cambria" w:cs="Cambria" w:eastAsia="Cambria" w:hAnsi="Cambria"/>
                <w:b/>
                <w:bCs/>
                <w:color w:val="B3341F"/>
                <w:sz w:val="18"/>
                <w:szCs w:val="18"/>
              </w:rPr>
              <w:t xml:space="preserve">0</w:t>
            </w:r>
          </w:p>
        </w:tc>
        <w:tc>
          <w:tcPr>
            <w:tcW w:type="dxa" w:w="19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44</w:t>
            </w:r>
          </w:p>
        </w:tc>
      </w:tr>
      <w:tr>
        <w:tc>
          <w:tcPr>
            <w:tcW w:type="dxa" w:w="2600"/>
            <w:tcMar>
              <w:top w:type="dxa" w:w="40"/>
              <w:left w:type="dxa" w:w="80"/>
              <w:bottom w:type="dxa" w:w="40"/>
              <w:right w:type="dxa" w:w="80"/>
            </w:tcMar>
          </w:tcPr>
          <w:p>
            <w:pPr>
              <w:spacing w:after="0" w:line="220"/>
              <w:jc w:val="left"/>
            </w:pPr>
            <w:r>
              <w:rPr>
                <w:rFonts w:ascii="Cambria" w:cs="Cambria" w:eastAsia="Cambria" w:hAnsi="Cambria"/>
                <w:b w:val="false"/>
                <w:bCs w:val="false"/>
                <w:color w:val="000000"/>
                <w:sz w:val="18"/>
                <w:szCs w:val="18"/>
              </w:rPr>
              <w:t xml:space="preserve">16k, forced</w:t>
            </w:r>
          </w:p>
        </w:tc>
        <w:tc>
          <w:tcPr>
            <w:tcW w:type="dxa" w:w="1750"/>
            <w:tcMar>
              <w:top w:type="dxa" w:w="40"/>
              <w:left w:type="dxa" w:w="80"/>
              <w:bottom w:type="dxa" w:w="40"/>
              <w:right w:type="dxa" w:w="80"/>
            </w:tcMar>
          </w:tcPr>
          <w:p>
            <w:pPr>
              <w:spacing w:after="0" w:line="220"/>
              <w:jc w:val="center"/>
            </w:pPr>
            <w:r>
              <w:rPr>
                <w:rFonts w:ascii="Cambria" w:cs="Cambria" w:eastAsia="Cambria" w:hAnsi="Cambria"/>
                <w:b/>
                <w:bCs/>
                <w:color w:val="000000"/>
                <w:sz w:val="18"/>
                <w:szCs w:val="18"/>
              </w:rPr>
              <w:t xml:space="preserve">85</w:t>
            </w:r>
          </w:p>
        </w:tc>
        <w:tc>
          <w:tcPr>
            <w:tcW w:type="dxa" w:w="17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33</w:t>
            </w:r>
          </w:p>
        </w:tc>
        <w:tc>
          <w:tcPr>
            <w:tcW w:type="dxa" w:w="1950"/>
            <w:tcMar>
              <w:top w:type="dxa" w:w="40"/>
              <w:left w:type="dxa" w:w="80"/>
              <w:bottom w:type="dxa" w:w="40"/>
              <w:right w:type="dxa" w:w="80"/>
            </w:tcMar>
          </w:tcPr>
          <w:p>
            <w:pPr>
              <w:spacing w:after="0" w:line="220"/>
              <w:jc w:val="center"/>
            </w:pPr>
            <w:r>
              <w:rPr>
                <w:rFonts w:ascii="Cambria" w:cs="Cambria" w:eastAsia="Cambria" w:hAnsi="Cambria"/>
                <w:b w:val="false"/>
                <w:bCs w:val="false"/>
                <w:color w:val="000000"/>
                <w:sz w:val="18"/>
                <w:szCs w:val="18"/>
              </w:rPr>
              <w:t xml:space="preserve">2</w:t>
            </w:r>
          </w:p>
        </w:tc>
      </w:tr>
    </w:tbl>
    <w:p>
      <w:pPr>
        <w:spacing w:after="90" w:line="250"/>
        <w:jc w:val="both"/>
      </w:pPr>
      <w:r>
        <w:rPr>
          <w:rFonts w:ascii="Cambria" w:cs="Cambria" w:eastAsia="Cambria" w:hAnsi="Cambria"/>
          <w:b w:val="false"/>
          <w:bCs w:val="false"/>
          <w:i/>
          <w:iCs/>
          <w:color w:val="000000"/>
          <w:sz w:val="17"/>
          <w:szCs w:val="17"/>
        </w:rPr>
        <w:t xml:space="preserve">The zero column is the finding: left alone, the model never guesses.</w:t>
      </w:r>
    </w:p>
    <w:p>
      <w:pPr>
        <w:pBdr>
          <w:top w:val="single" w:color="C3CBD6" w:sz="6" w:space="6"/>
        </w:pBdr>
        <w:spacing w:before="60"/>
      </w:pPr>
      <w:r>
        <w:rPr>
          <w:rFonts w:ascii="Cambria" w:cs="Cambria" w:eastAsia="Cambria" w:hAnsi="Cambria"/>
          <w:color w:val="666666"/>
          <w:sz w:val="15"/>
          <w:szCs w:val="15"/>
        </w:rPr>
        <w:t xml:space="preserve">All values measured on a Kaggle Tesla T4, float16, vLLM — 30 problems, K = 4, 22.6 GPU-hours. Nothing is estimated. Code and data: github.com/abuahmad369/llm-budget-forcing</w:t>
      </w:r>
    </w:p>
    <w:sectPr>
      <w:pgSz w:w="11906" w:h="16838" w:orient="portrait"/>
      <w:pgMar w:top="850" w:right="900" w:bottom="7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fc348b8fcb04c26986e9a7aab37376c8ee93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2026-08-24T02:40:54.244Z</dcterms:created>
  <dcterms:modified xsi:type="dcterms:W3CDTF">2026-08-24T02:40:54.245Z</dcterms:modified>
</cp:coreProperties>
</file>

<file path=docProps/custom.xml><?xml version="1.0" encoding="utf-8"?>
<Properties xmlns="http://schemas.openxmlformats.org/officeDocument/2006/custom-properties" xmlns:vt="http://schemas.openxmlformats.org/officeDocument/2006/docPropsVTypes"/>
</file>