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C8417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Министерство образования и науки Российской Федерации</w:t>
      </w:r>
    </w:p>
    <w:p w14:paraId="59A42E6F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0A964E7D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34DD60B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2BAD2" wp14:editId="7796016C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157B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1C194C86" w14:textId="77777777" w:rsidR="00CD69DA" w:rsidRPr="00002E54" w:rsidRDefault="00CD69DA" w:rsidP="00CD69DA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Кафедра «Информационных технологий и систем»</w:t>
      </w:r>
    </w:p>
    <w:p w14:paraId="11997312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6E02A7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0CA0886" w14:textId="0A0E86DA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B5C8BC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35E295C9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5099106B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1B17C5E5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7A0FA0AE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4941FC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941D24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A2EAD9E" w14:textId="43043A04" w:rsidR="00CD69DA" w:rsidRPr="00DD0A5B" w:rsidRDefault="00CD69DA" w:rsidP="00CD69D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Проектирование </w:t>
      </w:r>
      <w:r w:rsidR="00DD0A5B">
        <w:rPr>
          <w:b/>
          <w:bCs/>
          <w:sz w:val="28"/>
          <w:szCs w:val="28"/>
        </w:rPr>
        <w:t>синтаксического</w:t>
      </w:r>
      <w:r>
        <w:rPr>
          <w:b/>
          <w:bCs/>
          <w:sz w:val="28"/>
          <w:szCs w:val="28"/>
        </w:rPr>
        <w:t xml:space="preserve"> анализатора</w:t>
      </w:r>
    </w:p>
    <w:p w14:paraId="5BC76170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Лабораторная работа</w:t>
      </w:r>
    </w:p>
    <w:p w14:paraId="0AF1DF45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по дисциплине:</w:t>
      </w:r>
    </w:p>
    <w:p w14:paraId="7C0F0020" w14:textId="563C98E6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Теория языков программирования и методы трансляции</w:t>
      </w:r>
      <w:r w:rsidRPr="00002E54">
        <w:rPr>
          <w:rFonts w:eastAsia="Times New Roman"/>
          <w:sz w:val="28"/>
          <w:szCs w:val="28"/>
        </w:rPr>
        <w:t>»</w:t>
      </w:r>
    </w:p>
    <w:p w14:paraId="6684D651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11EC3A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44E2E3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1C11D05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8831AA4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A1C68A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14A887C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62A330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A1B2D60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FA87F0D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E1ED647" w14:textId="77777777" w:rsidR="00CD69DA" w:rsidRPr="00002E54" w:rsidRDefault="00CD69DA" w:rsidP="00CD69DA">
      <w:pPr>
        <w:pStyle w:val="Standard"/>
        <w:rPr>
          <w:sz w:val="28"/>
          <w:szCs w:val="28"/>
        </w:rPr>
      </w:pPr>
    </w:p>
    <w:p w14:paraId="200F14A2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Разработал:</w:t>
      </w:r>
    </w:p>
    <w:p w14:paraId="7D975AD6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Студент группы 8091</w:t>
      </w:r>
    </w:p>
    <w:p w14:paraId="3284ACFB" w14:textId="082AD395" w:rsidR="00CD69DA" w:rsidRPr="00002E54" w:rsidRDefault="00FD6F3D" w:rsidP="00CD69DA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Кудряшов И. С.</w:t>
      </w:r>
      <w:r w:rsidR="00CD69DA" w:rsidRPr="00002E54">
        <w:rPr>
          <w:rFonts w:eastAsia="Times New Roman"/>
          <w:sz w:val="28"/>
          <w:szCs w:val="28"/>
        </w:rPr>
        <w:t xml:space="preserve"> ______</w:t>
      </w:r>
    </w:p>
    <w:p w14:paraId="26ECE457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«__» _____2020г</w:t>
      </w:r>
    </w:p>
    <w:p w14:paraId="69009832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Проверил:</w:t>
      </w:r>
    </w:p>
    <w:p w14:paraId="56DBB804" w14:textId="0F33E92F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Макаров В. А. </w:t>
      </w:r>
      <w:r w:rsidRPr="00002E54">
        <w:rPr>
          <w:rFonts w:eastAsia="Times New Roman"/>
          <w:sz w:val="28"/>
          <w:szCs w:val="28"/>
        </w:rPr>
        <w:t xml:space="preserve"> ______</w:t>
      </w:r>
    </w:p>
    <w:p w14:paraId="462F42FA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«__» _____2020г</w:t>
      </w:r>
    </w:p>
    <w:p w14:paraId="1E293C47" w14:textId="77777777" w:rsidR="00CD69DA" w:rsidRPr="00002E54" w:rsidRDefault="00CD69DA" w:rsidP="00CD69DA">
      <w:pPr>
        <w:pStyle w:val="Standard"/>
        <w:rPr>
          <w:rFonts w:eastAsia="Times New Roman"/>
          <w:b/>
          <w:sz w:val="28"/>
          <w:szCs w:val="28"/>
        </w:rPr>
      </w:pPr>
    </w:p>
    <w:p w14:paraId="2EFA1FE6" w14:textId="6A580BFF" w:rsidR="00CD69DA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ED11552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CA6858F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Великий Новгород</w:t>
      </w:r>
    </w:p>
    <w:p w14:paraId="2B5E91F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2020</w:t>
      </w:r>
    </w:p>
    <w:p w14:paraId="7AF02C4A" w14:textId="184B8CD4" w:rsidR="00DA0D9F" w:rsidRDefault="00CD69DA" w:rsidP="00CD69DA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D69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5666AD2" w14:textId="5C19A373" w:rsidR="00CD69DA" w:rsidRPr="00CD69DA" w:rsidRDefault="00CD69DA" w:rsidP="00CD69DA">
      <w:pPr>
        <w:ind w:left="28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0A5B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Pr="00CD69D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</w:t>
      </w:r>
    </w:p>
    <w:p w14:paraId="158772E8" w14:textId="52FE0FEF" w:rsidR="00CD69DA" w:rsidRDefault="00CD69DA" w:rsidP="00CD69DA">
      <w:pPr>
        <w:pStyle w:val="a3"/>
        <w:ind w:firstLine="720"/>
        <w:jc w:val="both"/>
        <w:rPr>
          <w:color w:val="000000"/>
          <w:lang w:val="ru-RU"/>
        </w:rPr>
      </w:pPr>
      <w:r w:rsidRPr="00CD69DA">
        <w:rPr>
          <w:color w:val="000000"/>
          <w:lang w:val="ru-RU"/>
        </w:rPr>
        <w:t xml:space="preserve">Разработать программу, решающую задачу </w:t>
      </w:r>
      <w:r w:rsidR="00DD0A5B">
        <w:rPr>
          <w:color w:val="000000"/>
          <w:lang w:val="ru-RU"/>
        </w:rPr>
        <w:t>синтаксического</w:t>
      </w:r>
      <w:r w:rsidRPr="00CD69DA">
        <w:rPr>
          <w:color w:val="000000"/>
          <w:lang w:val="ru-RU"/>
        </w:rPr>
        <w:t xml:space="preserve"> разбора исходного текста программы. Распознаваемый язык выбирается самостоятельно. В качестве прототипов может быть выбран синтаксис следующих языков программирования: Паскаль, СИ, Бейсик.</w:t>
      </w:r>
    </w:p>
    <w:p w14:paraId="640150FB" w14:textId="38089FD7" w:rsidR="00DD0A5B" w:rsidRPr="00FD6F3D" w:rsidRDefault="00DD0A5B" w:rsidP="00DD0A5B">
      <w:pPr>
        <w:pStyle w:val="a3"/>
        <w:ind w:firstLine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Грамматика</w:t>
      </w:r>
    </w:p>
    <w:p w14:paraId="7D8334AF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STATS -&gt; STATS STAT</w:t>
      </w:r>
    </w:p>
    <w:p w14:paraId="2D891B15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STATS -&gt; STAT</w:t>
      </w:r>
    </w:p>
    <w:p w14:paraId="7FE0B1B1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STAT -&gt; ASSIGNMENT_EXP ;</w:t>
      </w:r>
    </w:p>
    <w:p w14:paraId="6A0DD4ED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STAT -&gt; { STATS }</w:t>
      </w:r>
    </w:p>
    <w:p w14:paraId="2FAE6B3B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ASSIGNMENT_EXP -&gt; var = EXP</w:t>
      </w:r>
    </w:p>
    <w:p w14:paraId="515475D2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EXP -&gt; AND_EXP</w:t>
      </w:r>
    </w:p>
    <w:p w14:paraId="3038ECC1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EXP -&gt; OR_EXP</w:t>
      </w:r>
    </w:p>
    <w:p w14:paraId="12DF7E6F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EXP -&gt; LOG_EXP</w:t>
      </w:r>
    </w:p>
    <w:p w14:paraId="23022565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AND_EXP -&gt; LOG_EXP</w:t>
      </w:r>
    </w:p>
    <w:p w14:paraId="24614898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AND_EXP -&gt; LOG_EXP &amp;&amp; EXP</w:t>
      </w:r>
    </w:p>
    <w:p w14:paraId="432AABD6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OR_EXP -&gt; AND_EXP</w:t>
      </w:r>
    </w:p>
    <w:p w14:paraId="570F088F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OR_EXP -&gt; LOG_EXP || EXP</w:t>
      </w:r>
    </w:p>
    <w:p w14:paraId="76C82B4A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LOG_EXP -&gt; ADDITIVE_EXP</w:t>
      </w:r>
    </w:p>
    <w:p w14:paraId="7831B1D0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LOG_EXP -&gt; ADDITIVE_EXP comp_operator ADDITIVE_EXP</w:t>
      </w:r>
    </w:p>
    <w:p w14:paraId="257F6330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ADDITIVE_EXP -&gt; MULT_EXP</w:t>
      </w:r>
    </w:p>
    <w:p w14:paraId="230CEE33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ADDITIVE_EXP -&gt; ADDITIVE_EXP pm_operator MULT_EXP</w:t>
      </w:r>
    </w:p>
    <w:p w14:paraId="421AD220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MULT_EXP -&gt; CAST_EXP</w:t>
      </w:r>
    </w:p>
    <w:p w14:paraId="19FBE6ED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MULT_EXP -&gt; MULT_EXP md_operator CAST_EXP</w:t>
      </w:r>
    </w:p>
    <w:p w14:paraId="6FD6C8A5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CAST_EXP -&gt; UNARY_EXP</w:t>
      </w:r>
    </w:p>
    <w:p w14:paraId="1DDC44C6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CAST_EXP -&gt; ( type_name ) CAST_EXP</w:t>
      </w:r>
    </w:p>
    <w:p w14:paraId="264729E3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UNARY_EXP -&gt; unary_operator CAST_EXP</w:t>
      </w:r>
    </w:p>
    <w:p w14:paraId="131EA7A9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UNARY_EXP -&gt; prefix_operator UNARY_EXP</w:t>
      </w:r>
    </w:p>
    <w:p w14:paraId="1A12A8BB" w14:textId="77777777" w:rsidR="00FD6F3D" w:rsidRPr="00FD6F3D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t>UNARY_EXP -&gt; var</w:t>
      </w:r>
    </w:p>
    <w:p w14:paraId="695A9E6D" w14:textId="58DFD976" w:rsidR="00DD0A5B" w:rsidRDefault="00FD6F3D" w:rsidP="00FD6F3D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F3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UNARY_EXP -&gt; const</w:t>
      </w:r>
    </w:p>
    <w:p w14:paraId="4DA29726" w14:textId="77777777" w:rsidR="00DD0A5B" w:rsidRDefault="00DD0A5B" w:rsidP="00DD0A5B">
      <w:pPr>
        <w:ind w:left="2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C70496" w14:textId="03FB4F6C" w:rsidR="00DD0A5B" w:rsidRDefault="00DD0A5B" w:rsidP="00DD0A5B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реализации</w:t>
      </w:r>
    </w:p>
    <w:p w14:paraId="27E41359" w14:textId="2A601271" w:rsidR="00DD0A5B" w:rsidRDefault="00DD0A5B" w:rsidP="00DD0A5B">
      <w:pPr>
        <w:ind w:left="28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0A5B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выбора метода синтаксического анализа</w:t>
      </w:r>
    </w:p>
    <w:p w14:paraId="26965506" w14:textId="10064C10" w:rsidR="00A46FF8" w:rsidRPr="00A46FF8" w:rsidRDefault="00DD0A5B" w:rsidP="00DD0A5B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Был выбран восходящий метод синтаксического анализа, а именно метод «перенос-опознание» (</w:t>
      </w:r>
      <w:r>
        <w:rPr>
          <w:color w:val="000000"/>
        </w:rPr>
        <w:t>shift</w:t>
      </w:r>
      <w:r w:rsidRPr="00DD0A5B">
        <w:rPr>
          <w:color w:val="000000"/>
          <w:lang w:val="ru-RU"/>
        </w:rPr>
        <w:t>-</w:t>
      </w:r>
      <w:r>
        <w:rPr>
          <w:color w:val="000000"/>
        </w:rPr>
        <w:t>reduce</w:t>
      </w:r>
      <w:r w:rsidRPr="00DD0A5B">
        <w:rPr>
          <w:color w:val="000000"/>
          <w:lang w:val="ru-RU"/>
        </w:rPr>
        <w:t>).</w:t>
      </w:r>
      <w:r w:rsidR="00A46FF8">
        <w:rPr>
          <w:color w:val="000000"/>
          <w:lang w:val="ru-RU"/>
        </w:rPr>
        <w:t xml:space="preserve"> Поскольку грамматика имела пересечения множества выбора и нисходящие методы были неприменимы, было принято решение использовать именно данный метод. </w:t>
      </w:r>
    </w:p>
    <w:p w14:paraId="28D84238" w14:textId="5BF70C3F" w:rsidR="00A46FF8" w:rsidRPr="00A46FF8" w:rsidRDefault="00A46FF8" w:rsidP="00A46FF8">
      <w:pPr>
        <w:ind w:left="288" w:firstLine="43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структуры синтаксического анализатора</w:t>
      </w:r>
    </w:p>
    <w:p w14:paraId="1B72398D" w14:textId="7048830B" w:rsidR="00DD0A5B" w:rsidRDefault="00DD0A5B" w:rsidP="00DD0A5B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 </w:t>
      </w:r>
      <w:r w:rsidR="00A46FF8">
        <w:rPr>
          <w:color w:val="000000"/>
          <w:lang w:val="ru-RU"/>
        </w:rPr>
        <w:t>методе «перенос-опознание»</w:t>
      </w:r>
      <w:r>
        <w:rPr>
          <w:color w:val="000000"/>
          <w:lang w:val="ru-RU"/>
        </w:rPr>
        <w:t xml:space="preserve"> мы находим </w:t>
      </w:r>
      <w:r>
        <w:rPr>
          <w:color w:val="000000"/>
        </w:rPr>
        <w:t>FIRST</w:t>
      </w:r>
      <w:r w:rsidRPr="00DD0A5B">
        <w:rPr>
          <w:color w:val="000000"/>
          <w:lang w:val="ru-RU"/>
        </w:rPr>
        <w:t xml:space="preserve">() </w:t>
      </w:r>
      <w:r>
        <w:rPr>
          <w:color w:val="000000"/>
          <w:lang w:val="ru-RU"/>
        </w:rPr>
        <w:t xml:space="preserve">и </w:t>
      </w:r>
      <w:r>
        <w:rPr>
          <w:color w:val="000000"/>
        </w:rPr>
        <w:t>NEXT</w:t>
      </w:r>
      <w:r w:rsidRPr="00DD0A5B">
        <w:rPr>
          <w:color w:val="000000"/>
          <w:lang w:val="ru-RU"/>
        </w:rPr>
        <w:t xml:space="preserve">() </w:t>
      </w:r>
      <w:r>
        <w:rPr>
          <w:color w:val="000000"/>
          <w:lang w:val="ru-RU"/>
        </w:rPr>
        <w:t>от каждого элемента грамматики и на основе четырёх правил делаем управляющую таблицу (или две таблицы – таблица переносов и таблица свертываний, а потом соединяем их).</w:t>
      </w:r>
    </w:p>
    <w:p w14:paraId="162824F6" w14:textId="2C57F046" w:rsidR="00DD0A5B" w:rsidRPr="00DD0A5B" w:rsidRDefault="00DD0A5B" w:rsidP="00DD0A5B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b/>
          <w:sz w:val="24"/>
          <w:szCs w:val="24"/>
          <w:lang w:val="ru-RU"/>
        </w:rPr>
        <w:t>Принцип переноса:</w:t>
      </w:r>
    </w:p>
    <w:p w14:paraId="1D1EA0CD" w14:textId="79AF9876" w:rsidR="00DD0A5B" w:rsidRPr="00DD0A5B" w:rsidRDefault="00DD0A5B" w:rsidP="00DD0A5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Управляющая таблица строится по следующему правилу. Операция ПЕРЕНОС для магазинного символа </w:t>
      </w:r>
      <w:r w:rsidRPr="00DD0A5B">
        <w:rPr>
          <w:rFonts w:ascii="Times New Roman" w:hAnsi="Times New Roman" w:cs="Times New Roman"/>
          <w:b/>
          <w:sz w:val="24"/>
          <w:szCs w:val="24"/>
          <w:lang w:val="ru-RU"/>
        </w:rPr>
        <w:t>&lt;В&gt;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и терминала a</w:t>
      </w:r>
      <w:r w:rsidRPr="00DD0A5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>вносится в таблицу, когда выполняется одно из условий:</w:t>
      </w:r>
    </w:p>
    <w:p w14:paraId="3B0B8B20" w14:textId="561D9179" w:rsidR="00DD0A5B" w:rsidRPr="00DD0A5B" w:rsidRDefault="00DD0A5B" w:rsidP="00DD0A5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sz w:val="24"/>
          <w:szCs w:val="24"/>
          <w:lang w:val="ru-RU"/>
        </w:rPr>
        <w:t>1) имеется правило &lt;</w:t>
      </w:r>
      <w:r w:rsidRPr="00DD0A5B">
        <w:rPr>
          <w:rFonts w:ascii="Times New Roman" w:hAnsi="Times New Roman" w:cs="Times New Roman"/>
          <w:sz w:val="24"/>
          <w:szCs w:val="24"/>
        </w:rPr>
        <w:t>A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>&gt;→ &lt;</w:t>
      </w:r>
      <w:r w:rsidRPr="00DD0A5B">
        <w:rPr>
          <w:rFonts w:ascii="Times New Roman" w:hAnsi="Times New Roman" w:cs="Times New Roman"/>
          <w:sz w:val="24"/>
          <w:szCs w:val="24"/>
        </w:rPr>
        <w:t>B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DD0A5B">
        <w:rPr>
          <w:rFonts w:ascii="Times New Roman" w:hAnsi="Times New Roman" w:cs="Times New Roman"/>
          <w:sz w:val="24"/>
          <w:szCs w:val="24"/>
        </w:rPr>
        <w:sym w:font="Symbol" w:char="F062"/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,   </w:t>
      </w:r>
      <w:r w:rsidRPr="00DD0A5B">
        <w:rPr>
          <w:rFonts w:ascii="Times New Roman" w:hAnsi="Times New Roman" w:cs="Times New Roman"/>
          <w:sz w:val="24"/>
          <w:szCs w:val="24"/>
        </w:rPr>
        <w:sym w:font="Symbol" w:char="F062"/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- цепочка из терминальных и нетерминальных символов, </w:t>
      </w:r>
      <w:r w:rsidRPr="00DD0A5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DD0A5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sz w:val="24"/>
          <w:szCs w:val="24"/>
        </w:rPr>
        <w:t>FIRST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D0A5B">
        <w:rPr>
          <w:rFonts w:ascii="Times New Roman" w:hAnsi="Times New Roman" w:cs="Times New Roman"/>
          <w:sz w:val="24"/>
          <w:szCs w:val="24"/>
        </w:rPr>
        <w:sym w:font="Symbol" w:char="F062"/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247E48DF" w14:textId="3459006E" w:rsidR="00DD0A5B" w:rsidRPr="00DD0A5B" w:rsidRDefault="00DD0A5B" w:rsidP="00DD0A5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2) если вместо </w:t>
      </w:r>
      <w:r w:rsidRPr="00DD0A5B">
        <w:rPr>
          <w:rFonts w:ascii="Times New Roman" w:hAnsi="Times New Roman" w:cs="Times New Roman"/>
          <w:b/>
          <w:sz w:val="24"/>
          <w:szCs w:val="24"/>
          <w:lang w:val="ru-RU"/>
        </w:rPr>
        <w:t>&lt;В&gt;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стоит маркер дна магазина и </w:t>
      </w:r>
      <w:r w:rsidRPr="00DD0A5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DD0A5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sz w:val="24"/>
          <w:szCs w:val="24"/>
        </w:rPr>
        <w:t>FIRST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DD0A5B">
        <w:rPr>
          <w:rFonts w:ascii="Times New Roman" w:hAnsi="Times New Roman" w:cs="Times New Roman"/>
          <w:sz w:val="24"/>
          <w:szCs w:val="24"/>
        </w:rPr>
        <w:t>S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), где </w:t>
      </w:r>
      <w:r w:rsidRPr="00DD0A5B">
        <w:rPr>
          <w:rFonts w:ascii="Times New Roman" w:hAnsi="Times New Roman" w:cs="Times New Roman"/>
          <w:sz w:val="24"/>
          <w:szCs w:val="24"/>
        </w:rPr>
        <w:t>S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– стартовый нетерминал грамматики.</w:t>
      </w:r>
    </w:p>
    <w:p w14:paraId="71071406" w14:textId="44A983D2" w:rsidR="00DD0A5B" w:rsidRPr="00DD0A5B" w:rsidRDefault="00DD0A5B" w:rsidP="00DD0A5B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b/>
          <w:sz w:val="24"/>
          <w:szCs w:val="24"/>
          <w:lang w:val="ru-RU"/>
        </w:rPr>
        <w:t>Принцип свертывания:</w:t>
      </w:r>
    </w:p>
    <w:p w14:paraId="6103E15A" w14:textId="2DF68CAB" w:rsidR="00DD0A5B" w:rsidRPr="00DD0A5B" w:rsidRDefault="00DD0A5B" w:rsidP="00DD0A5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В управляющей таблице ячейка на пересечении   магазинного символа </w:t>
      </w:r>
      <w:r w:rsidRPr="00DD0A5B">
        <w:rPr>
          <w:rFonts w:ascii="Times New Roman" w:hAnsi="Times New Roman" w:cs="Times New Roman"/>
          <w:b/>
          <w:sz w:val="24"/>
          <w:szCs w:val="24"/>
          <w:lang w:val="ru-RU"/>
        </w:rPr>
        <w:t>&lt;В&gt;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и терминала a</w:t>
      </w:r>
      <w:r w:rsidRPr="00DD0A5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>обеспечивает вызов процедуры ОПОЗНАТЬ в следующих случаях:</w:t>
      </w:r>
    </w:p>
    <w:p w14:paraId="6CE9170E" w14:textId="7BA79618" w:rsidR="00DD0A5B" w:rsidRPr="00DD0A5B" w:rsidRDefault="00DD0A5B" w:rsidP="00DD0A5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sz w:val="24"/>
          <w:szCs w:val="24"/>
          <w:lang w:val="ru-RU"/>
        </w:rPr>
        <w:t>для правила &lt;</w:t>
      </w:r>
      <w:r w:rsidRPr="00DD0A5B">
        <w:rPr>
          <w:rFonts w:ascii="Times New Roman" w:hAnsi="Times New Roman" w:cs="Times New Roman"/>
          <w:sz w:val="24"/>
          <w:szCs w:val="24"/>
        </w:rPr>
        <w:t>A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&gt;→ </w:t>
      </w:r>
      <w:r w:rsidRPr="00DD0A5B">
        <w:rPr>
          <w:rFonts w:ascii="Times New Roman" w:hAnsi="Times New Roman" w:cs="Times New Roman"/>
          <w:sz w:val="24"/>
          <w:szCs w:val="24"/>
        </w:rPr>
        <w:sym w:font="Symbol" w:char="F061"/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DD0A5B">
        <w:rPr>
          <w:rFonts w:ascii="Times New Roman" w:hAnsi="Times New Roman" w:cs="Times New Roman"/>
          <w:sz w:val="24"/>
          <w:szCs w:val="24"/>
        </w:rPr>
        <w:t>B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&gt; терминал </w:t>
      </w:r>
      <w:r w:rsidRPr="00DD0A5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DD0A5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b/>
          <w:i/>
          <w:sz w:val="24"/>
          <w:szCs w:val="24"/>
        </w:rPr>
        <w:sym w:font="Symbol" w:char="F0CE"/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0A5B">
        <w:rPr>
          <w:rFonts w:ascii="Times New Roman" w:hAnsi="Times New Roman" w:cs="Times New Roman"/>
          <w:sz w:val="24"/>
          <w:szCs w:val="24"/>
        </w:rPr>
        <w:t>NEXT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 (&lt;</w:t>
      </w:r>
      <w:r w:rsidRPr="00DD0A5B">
        <w:rPr>
          <w:rFonts w:ascii="Times New Roman" w:hAnsi="Times New Roman" w:cs="Times New Roman"/>
          <w:sz w:val="24"/>
          <w:szCs w:val="24"/>
        </w:rPr>
        <w:t>A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>&gt;)</w:t>
      </w:r>
    </w:p>
    <w:p w14:paraId="5129479B" w14:textId="4A3694C9" w:rsidR="00DD0A5B" w:rsidRPr="00A46FF8" w:rsidRDefault="00DD0A5B" w:rsidP="00A46FF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D0A5B">
        <w:rPr>
          <w:rFonts w:ascii="Times New Roman" w:hAnsi="Times New Roman" w:cs="Times New Roman"/>
          <w:sz w:val="24"/>
          <w:szCs w:val="24"/>
          <w:lang w:val="ru-RU"/>
        </w:rPr>
        <w:t>если &lt;</w:t>
      </w:r>
      <w:r w:rsidRPr="00DD0A5B">
        <w:rPr>
          <w:rFonts w:ascii="Times New Roman" w:hAnsi="Times New Roman" w:cs="Times New Roman"/>
          <w:sz w:val="24"/>
          <w:szCs w:val="24"/>
        </w:rPr>
        <w:t>B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&gt; является стартовым нетерминал грамматики   </w:t>
      </w:r>
      <w:r w:rsidRPr="00DD0A5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DD0A5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= </w:t>
      </w:r>
      <w:r w:rsidRPr="00DD0A5B">
        <w:rPr>
          <w:rFonts w:ascii="Times New Roman" w:hAnsi="Times New Roman" w:cs="Times New Roman"/>
          <w:sz w:val="24"/>
          <w:szCs w:val="24"/>
          <w:lang w:val="ru-RU"/>
        </w:rPr>
        <w:t xml:space="preserve">-| </w:t>
      </w:r>
    </w:p>
    <w:p w14:paraId="021B665E" w14:textId="31BD5D7E" w:rsidR="00DD0A5B" w:rsidRDefault="00DD0A5B" w:rsidP="00DD0A5B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После построения управляющей таблицы мы формируем </w:t>
      </w:r>
      <w:r w:rsidR="00A46FF8">
        <w:rPr>
          <w:color w:val="000000"/>
          <w:lang w:val="ru-RU"/>
        </w:rPr>
        <w:t>некоторые правила свертки, которые позволяют нам свернуть выражение в стеке к определенному нетерминалу грамматики. При сдвиге мы добавляем новую лексему в стэк и смещаем указатель.</w:t>
      </w:r>
    </w:p>
    <w:p w14:paraId="608BA2E6" w14:textId="77777777" w:rsidR="00A46FF8" w:rsidRDefault="00A46FF8" w:rsidP="00A46FF8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реализации</w:t>
      </w:r>
    </w:p>
    <w:p w14:paraId="09A4204D" w14:textId="18BCA912" w:rsidR="00A46FF8" w:rsidRDefault="00A46FF8" w:rsidP="00A46FF8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При обнаружении ошибки в ходе синтаксического анализа, программа выдает исключение, содержащее номер строки, на которой программа обнаружила ошибку</w:t>
      </w:r>
      <w:r w:rsidR="00FD6F3D">
        <w:rPr>
          <w:color w:val="000000"/>
          <w:lang w:val="ru-RU"/>
        </w:rPr>
        <w:t xml:space="preserve"> и тип лексемы</w:t>
      </w:r>
      <w:r>
        <w:rPr>
          <w:color w:val="000000"/>
          <w:lang w:val="ru-RU"/>
        </w:rPr>
        <w:t>.</w:t>
      </w:r>
    </w:p>
    <w:p w14:paraId="2C261FBE" w14:textId="47B063C5" w:rsidR="00A46FF8" w:rsidRDefault="00A46FF8" w:rsidP="00A46FF8">
      <w:pPr>
        <w:pStyle w:val="a3"/>
        <w:jc w:val="both"/>
        <w:rPr>
          <w:color w:val="000000"/>
          <w:lang w:val="ru-RU"/>
        </w:rPr>
      </w:pPr>
    </w:p>
    <w:p w14:paraId="54F067F0" w14:textId="25D04731" w:rsidR="00A46FF8" w:rsidRDefault="00A46FF8" w:rsidP="00A46FF8">
      <w:pPr>
        <w:pStyle w:val="a3"/>
        <w:jc w:val="both"/>
        <w:rPr>
          <w:color w:val="000000"/>
          <w:lang w:val="ru-RU"/>
        </w:rPr>
      </w:pPr>
    </w:p>
    <w:p w14:paraId="5DD97B14" w14:textId="06D26EB7" w:rsidR="00A46FF8" w:rsidRDefault="00A46FF8" w:rsidP="00A46FF8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Выводы</w:t>
      </w:r>
    </w:p>
    <w:p w14:paraId="336BC518" w14:textId="1200892C" w:rsidR="00A46FF8" w:rsidRPr="00FD6F3D" w:rsidRDefault="00A46FF8" w:rsidP="00A46FF8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 ходе проделанной работы получился синтаксический анализатор, способный проверить соответствие поступающих лексем грамматике. Для решения поставленной проблемы </w:t>
      </w:r>
      <w:r w:rsidR="00FD6F3D">
        <w:rPr>
          <w:color w:val="000000"/>
          <w:lang w:val="ru-RU"/>
        </w:rPr>
        <w:t xml:space="preserve">был найден на </w:t>
      </w:r>
      <w:r w:rsidR="00FD6F3D">
        <w:rPr>
          <w:color w:val="000000"/>
        </w:rPr>
        <w:t>github</w:t>
      </w:r>
      <w:r w:rsidR="00FD6F3D" w:rsidRPr="00FD6F3D">
        <w:rPr>
          <w:color w:val="000000"/>
          <w:lang w:val="ru-RU"/>
        </w:rPr>
        <w:t xml:space="preserve"> </w:t>
      </w:r>
      <w:r w:rsidR="00FD6F3D">
        <w:rPr>
          <w:color w:val="000000"/>
          <w:lang w:val="ru-RU"/>
        </w:rPr>
        <w:t xml:space="preserve">вспомогательный скрипт на </w:t>
      </w:r>
      <w:r w:rsidR="00FD6F3D">
        <w:rPr>
          <w:color w:val="000000"/>
        </w:rPr>
        <w:t>javascript</w:t>
      </w:r>
      <w:r w:rsidR="00FD6F3D" w:rsidRPr="00FD6F3D">
        <w:rPr>
          <w:color w:val="000000"/>
          <w:lang w:val="ru-RU"/>
        </w:rPr>
        <w:t xml:space="preserve"> </w:t>
      </w:r>
      <w:r w:rsidR="00FD6F3D">
        <w:rPr>
          <w:color w:val="000000"/>
          <w:lang w:val="ru-RU"/>
        </w:rPr>
        <w:t>позволяющий автоматически построить управляющую таблицу</w:t>
      </w:r>
      <w:r w:rsidR="00FD6F3D" w:rsidRPr="00FD6F3D">
        <w:rPr>
          <w:color w:val="000000"/>
          <w:lang w:val="ru-RU"/>
        </w:rPr>
        <w:t xml:space="preserve"> </w:t>
      </w:r>
      <w:r w:rsidR="00FD6F3D">
        <w:rPr>
          <w:color w:val="000000"/>
          <w:lang w:val="ru-RU"/>
        </w:rPr>
        <w:t>на основе входной грамматики</w:t>
      </w:r>
      <w:r w:rsidR="00FD6F3D" w:rsidRPr="00FD6F3D">
        <w:rPr>
          <w:color w:val="000000"/>
          <w:lang w:val="ru-RU"/>
        </w:rPr>
        <w:t>,</w:t>
      </w:r>
      <w:r w:rsidR="00FD6F3D" w:rsidRPr="00FD6F3D">
        <w:rPr>
          <w:color w:val="000000"/>
          <w:lang w:val="ru-RU"/>
        </w:rPr>
        <w:t xml:space="preserve"> </w:t>
      </w:r>
      <w:r w:rsidR="00FD6F3D" w:rsidRPr="00FD6F3D">
        <w:rPr>
          <w:color w:val="000000"/>
          <w:lang w:val="ru-RU"/>
        </w:rPr>
        <w:t>которую можно использовать для реализации алгоритма «перенос-опознание».</w:t>
      </w:r>
      <w:r w:rsidR="00FD6F3D" w:rsidRPr="00FD6F3D">
        <w:rPr>
          <w:color w:val="000000"/>
          <w:lang w:val="ru-RU"/>
        </w:rPr>
        <w:t xml:space="preserve">, </w:t>
      </w:r>
      <w:r w:rsidR="00FD6F3D">
        <w:rPr>
          <w:color w:val="000000"/>
          <w:lang w:val="ru-RU"/>
        </w:rPr>
        <w:t xml:space="preserve">Этот скрипт при участии специалиста по </w:t>
      </w:r>
      <w:r w:rsidR="00FD6F3D">
        <w:rPr>
          <w:color w:val="000000"/>
        </w:rPr>
        <w:t>javascript</w:t>
      </w:r>
      <w:r w:rsidR="00FD6F3D">
        <w:rPr>
          <w:color w:val="000000"/>
          <w:lang w:val="ru-RU"/>
        </w:rPr>
        <w:t xml:space="preserve"> был переписан на </w:t>
      </w:r>
      <w:r w:rsidR="00FD6F3D">
        <w:rPr>
          <w:color w:val="000000"/>
        </w:rPr>
        <w:t>c</w:t>
      </w:r>
      <w:r w:rsidR="00FD6F3D" w:rsidRPr="00FD6F3D">
        <w:rPr>
          <w:color w:val="000000"/>
          <w:lang w:val="ru-RU"/>
        </w:rPr>
        <w:t>++</w:t>
      </w:r>
      <w:r w:rsidR="00FD6F3D">
        <w:rPr>
          <w:color w:val="000000"/>
          <w:lang w:val="ru-RU"/>
        </w:rPr>
        <w:t xml:space="preserve"> что позволило повысить производительность и интегрировать ранее написанный лексический анализатор.</w:t>
      </w:r>
    </w:p>
    <w:p w14:paraId="5DF4C948" w14:textId="7165D09D" w:rsidR="005F08C9" w:rsidRPr="005F08C9" w:rsidRDefault="005F08C9" w:rsidP="00A46FF8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Исходный код можно найти на</w:t>
      </w:r>
      <w:r w:rsidRPr="005F08C9">
        <w:rPr>
          <w:color w:val="000000"/>
          <w:lang w:val="ru-RU"/>
        </w:rPr>
        <w:t xml:space="preserve">: </w:t>
      </w:r>
      <w:r w:rsidR="00FD6F3D" w:rsidRPr="00FD6F3D">
        <w:rPr>
          <w:color w:val="000000"/>
          <w:lang w:val="ru-RU"/>
        </w:rPr>
        <w:t>https://github.com/abubaca4/2020-comp</w:t>
      </w:r>
    </w:p>
    <w:p w14:paraId="4247F6F2" w14:textId="77777777" w:rsidR="00A46FF8" w:rsidRPr="00A46FF8" w:rsidRDefault="00A46FF8" w:rsidP="00A46FF8">
      <w:pPr>
        <w:pStyle w:val="a3"/>
        <w:jc w:val="both"/>
        <w:rPr>
          <w:color w:val="000000"/>
          <w:lang w:val="ru-RU"/>
        </w:rPr>
      </w:pPr>
    </w:p>
    <w:sectPr w:rsidR="00A46FF8" w:rsidRPr="00A46F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26056"/>
    <w:multiLevelType w:val="hybridMultilevel"/>
    <w:tmpl w:val="C802ABFE"/>
    <w:lvl w:ilvl="0" w:tplc="55982FA8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33C67059"/>
    <w:multiLevelType w:val="hybridMultilevel"/>
    <w:tmpl w:val="F3DC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EF"/>
    <w:rsid w:val="002A7FEF"/>
    <w:rsid w:val="004420EB"/>
    <w:rsid w:val="005F08C9"/>
    <w:rsid w:val="007F5069"/>
    <w:rsid w:val="009E20F8"/>
    <w:rsid w:val="00A46FF8"/>
    <w:rsid w:val="00CD69DA"/>
    <w:rsid w:val="00DA0D9F"/>
    <w:rsid w:val="00DD0A5B"/>
    <w:rsid w:val="00DF2EEF"/>
    <w:rsid w:val="00E80178"/>
    <w:rsid w:val="00FD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F01B"/>
  <w15:chartTrackingRefBased/>
  <w15:docId w15:val="{0C06C8C7-3198-44B6-B0EB-2EBDABE6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69DA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CD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557</Words>
  <Characters>3176</Characters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2020-10-16T22:39:00Z</dcterms:created>
  <dcterms:modified xsi:type="dcterms:W3CDTF">2020-12-24T23:51:00Z</dcterms:modified>
</cp:coreProperties>
</file>