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jc w:val="center"/>
      </w:pPr>
      <w:r>
        <w:t xml:space="preserve">BattleNet: A Dual-Backbone Hybrid Fusion Architecture for Multi-Label Military Object Classification</w:t>
      </w:r>
    </w:p>
    <w:p>
      <w:pPr>
        <w:spacing w:after="240" w:line="240"/>
        <w:jc w:val="center"/>
      </w:pPr>
      <w:r>
        <w:t xml:space="preserve">Abu Bakar Siddik</w:t>
      </w:r>
    </w:p>
    <w:p>
      <w:pPr>
        <w:spacing w:after="120" w:line="2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Multi-label image classification in military domains requires models that capture both fine-grained local features and global spatial context. We propose BattleNet, a novel dual-backbone hybrid fusion architecture that combines EfficientNet-V2-S (CNN branch) and Swin Transformer (Transformer branch) through bilinear interaction fusion, squeeze-and-excitation recalibration, and learnable label co-occurrence refinement. Evaluated on the KIIT-MiTA military image dataset (7 classes, 1530 images), BattleNet achieves Macro F1 of 0.8063 and perfect precision (1.0) on radar detection, outperforming most single-backbone baselines including ViT-B/16, VGG16, ResNet-50, and DenseNet-121. Our analysis across 12 architectures demonstrates that hybrid CNN-Transformer fusion effectively leverages complementary feature representations for multi-label military object classification. BattleNet's label co-occurrence module successfully models inter-class dependencies, improving predictions for co-occurring military objects.</w:t>
      </w:r>
    </w:p>
    <w:p>
      <w:pPr>
        <w:spacing w:after="240" w:line="24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Multi-label classification, hybrid fusion, dual-backbone, military object detection, vision transformer, CNN</w:t>
      </w:r>
    </w:p>
    <w:p>
      <w:pPr>
        <w:sectPr>
          <w:pgSz w:w="12240" w:h="15840" w:orient="portrait"/>
          <w:pgMar w:top="1080" w:right="900" w:bottom="1080" w:left="900" w:header="708" w:footer="708" w:gutter="0"/>
          <w:pgNumType/>
          <w:docGrid w:linePitch="360"/>
        </w:sectPr>
      </w:pPr>
    </w:p>
    <w:p>
      <w:pPr>
        <w:spacing w:after="120" w:before="120" w:line="240"/>
        <w:jc w:val="center"/>
      </w:pPr>
      <w:r>
        <w:t xml:space="preserve">I. INTRODUCTION</w:t>
      </w:r>
    </w:p>
    <w:p>
      <w:pPr>
        <w:spacing w:after="120" w:line="240"/>
        <w:jc w:val="both"/>
      </w:pPr>
      <w:r>
        <w:t xml:space="preserve">Multi-label image classification in military imagery presents significant challenges that extend beyond traditional single-label recognition tasks. Military scenes are inherently complex, often containing multiple co-occurring objects such as vehicles, soldiers, radar systems, and munitions. This multiplicity of objects demands models capable of simultaneously detecting and classifying all present entities with high precision and recall.</w:t>
      </w:r>
    </w:p>
    <w:p>
      <w:pPr>
        <w:spacing w:after="120" w:line="240"/>
        <w:jc w:val="both"/>
      </w:pPr>
      <w:r>
        <w:t xml:space="preserve">Convolutional Neural Networks (CNNs) excel at capturing fine-grained local features such as object textures, edges, and small-scale spatial patterns. However, they struggle with large receptive fields necessary for understanding global spatial relationships and long-range dependencies. Conversely, Vision Transformers leverage self-attention mechanisms to model global context effectively but may miss detailed local patterns critical for distinguishing similar military objects.</w:t>
      </w:r>
    </w:p>
    <w:p>
      <w:pPr>
        <w:spacing w:after="120" w:line="240"/>
        <w:jc w:val="both"/>
      </w:pPr>
      <w:r>
        <w:t xml:space="preserve">This paper introduces BattleNet, a novel dual-backbone hybrid fusion architecture that strategically combines EfficientNet-V2-S and Swin Transformer through three key mechanisms: (1) bilinear interaction fusion that captures multiplicative interactions between CNN and Transformer features, (2) squeeze-and-excitation recalibration for channel-wise attention, and (3) learnable label co-occurrence refinement that models dependencies between military object classes.</w:t>
      </w:r>
    </w:p>
    <w:p>
      <w:pPr>
        <w:spacing w:after="240" w:line="240"/>
        <w:jc w:val="both"/>
      </w:pPr>
      <w:r>
        <w:t xml:space="preserve">Evaluated on the KIIT-MiTA military image dataset, BattleNet achieves a Macro F1 score of 0.8063, competitive with state-of-the-art single-backbone models. Notably, BattleNet achieves perfect precision (1.0) on radar detection and maintains strong performance on other critical military object classes. This paper presents comprehensive comparisons against 12 baseline architectures using their default configurations, demonstrating BattleNet's effectiveness in fusing complementary feature representations for multi-label military object classification.</w:t>
      </w:r>
    </w:p>
    <w:p>
      <w:pPr>
        <w:spacing w:after="120" w:before="120" w:line="240"/>
        <w:jc w:val="center"/>
      </w:pPr>
      <w:r>
        <w:t xml:space="preserve">II. RELATED WORK</w:t>
      </w:r>
    </w:p>
    <w:p>
      <w:pPr>
        <w:spacing w:after="60" w:before="60" w:line="240"/>
      </w:pPr>
      <w:r>
        <w:rPr>
          <w:rFonts w:ascii="Times New Roman" w:cs="Times New Roman" w:eastAsia="Times New Roman" w:hAnsi="Times New Roman"/>
          <w:b/>
          <w:bCs/>
          <w:sz w:val="20"/>
          <w:szCs w:val="20"/>
        </w:rPr>
        <w:t xml:space="preserve">A. Vision Transformers</w:t>
      </w:r>
    </w:p>
    <w:p>
      <w:pPr>
        <w:spacing w:after="120" w:line="240"/>
        <w:jc w:val="both"/>
      </w:pPr>
      <w:r>
        <w:t xml:space="preserve">Vision Transformers (ViT) introduced by Dosovitskiy et al. [1] demonstrated that self-attention mechanisms could achieve competitive results on image classification without relying on convolutions. Swin Transformers [2] extended this work by incorporating hierarchical feature representations and shifted window attention, achieving state-of-the-art results on multiple vision benchmarks. These architectures excel at capturing global spatial dependencies but may lack the inductive bias towards local feature extraction that CNNs provide.</w:t>
      </w:r>
    </w:p>
    <w:p>
      <w:pPr>
        <w:spacing w:after="60" w:before="60" w:line="240"/>
      </w:pPr>
      <w:r>
        <w:rPr>
          <w:rFonts w:ascii="Times New Roman" w:cs="Times New Roman" w:eastAsia="Times New Roman" w:hAnsi="Times New Roman"/>
          <w:b/>
          <w:bCs/>
          <w:sz w:val="20"/>
          <w:szCs w:val="20"/>
        </w:rPr>
        <w:t xml:space="preserve">B. Efficient CNN Architectures</w:t>
      </w:r>
    </w:p>
    <w:p>
      <w:pPr>
        <w:spacing w:after="120" w:line="240"/>
        <w:jc w:val="both"/>
      </w:pPr>
      <w:r>
        <w:t xml:space="preserve">EfficientNet [3] introduced a principled approach to model scaling, systematically balancing depth, width, and resolution. EfficientNetV2 [4] further improved this by incorporating training-aware scaling and progressive image augmentation. These models achieve excellent accuracy-to-parameter ratios, making them ideal for resource-constrained military applications. Their strength lies in capturing local features through hierarchical feature extraction.</w:t>
      </w:r>
    </w:p>
    <w:p>
      <w:pPr>
        <w:spacing w:after="60" w:before="60" w:line="240"/>
      </w:pPr>
      <w:r>
        <w:rPr>
          <w:rFonts w:ascii="Times New Roman" w:cs="Times New Roman" w:eastAsia="Times New Roman" w:hAnsi="Times New Roman"/>
          <w:b/>
          <w:bCs/>
          <w:sz w:val="20"/>
          <w:szCs w:val="20"/>
        </w:rPr>
        <w:t xml:space="preserve">C. Multi-Label Classification</w:t>
      </w:r>
    </w:p>
    <w:p>
      <w:pPr>
        <w:spacing w:after="120" w:line="240"/>
        <w:jc w:val="both"/>
      </w:pPr>
      <w:r>
        <w:t xml:space="preserve">Multi-label classification extends traditional image classification by allowing multiple class labels per image. Unlike single-label tasks, multi-label problems require capturing inter-class dependencies and avoiding label-level correlations [5]. Recent approaches incorporate label co-occurrence graphs, attention mechanisms, and structured losses to improve predictions on minority classes and handle class imbalance.</w:t>
      </w:r>
    </w:p>
    <w:p>
      <w:pPr>
        <w:spacing w:after="60" w:before="60" w:line="240"/>
      </w:pPr>
      <w:r>
        <w:rPr>
          <w:rFonts w:ascii="Times New Roman" w:cs="Times New Roman" w:eastAsia="Times New Roman" w:hAnsi="Times New Roman"/>
          <w:b/>
          <w:bCs/>
          <w:sz w:val="20"/>
          <w:szCs w:val="20"/>
        </w:rPr>
        <w:t xml:space="preserve">D. Feature Fusion Methods</w:t>
      </w:r>
    </w:p>
    <w:p>
      <w:pPr>
        <w:spacing w:after="240" w:line="240"/>
        <w:jc w:val="both"/>
      </w:pPr>
      <w:r>
        <w:t xml:space="preserve">Feature fusion strategies vary from early concatenation to late element-wise operations. Bilinear pooling [6] captures second-order feature interactions, showing promise in fine-grained classification tasks. Squeeze-and-excitation (SE) modules [7] provide channel-wise attention, dynamically reweighting feature maps. Our work combines these techniques within a dual-backbone architecture to leverage CNN and Transformer complementarity.</w:t>
      </w:r>
    </w:p>
    <w:p>
      <w:pPr>
        <w:spacing w:after="120" w:before="120" w:line="240"/>
        <w:jc w:val="center"/>
      </w:pPr>
      <w:r>
        <w:t xml:space="preserve">III. PROPOSED METHOD</w:t>
      </w:r>
    </w:p>
    <w:p>
      <w:pPr>
        <w:spacing w:after="60" w:before="60" w:line="240"/>
      </w:pPr>
      <w:r>
        <w:rPr>
          <w:rFonts w:ascii="Times New Roman" w:cs="Times New Roman" w:eastAsia="Times New Roman" w:hAnsi="Times New Roman"/>
          <w:b/>
          <w:bCs/>
          <w:sz w:val="20"/>
          <w:szCs w:val="20"/>
        </w:rPr>
        <w:t xml:space="preserve">A. Architecture Overview</w:t>
      </w:r>
    </w:p>
    <w:p>
      <w:pPr>
        <w:spacing w:after="120" w:line="240"/>
        <w:jc w:val="both"/>
      </w:pPr>
      <w:r>
        <w:t xml:space="preserve">BattleNet follows a dual-backbone architecture with five key stages: (1) parallel feature extraction via CNN and Transformer backbones, (2) bilinear interaction fusion, (3) squeeze-and-excitation recalibration, (4) label co-occurrence modeling, and (5) multi-label classification. Figure 1 illustrates the architecture diagram with all baseline comparisons.</w:t>
      </w:r>
    </w:p>
    <w:p>
      <w:pPr>
        <w:spacing w:after="120" w:line="240"/>
      </w:pPr>
    </w:p>
    <w:p>
      <w:pPr>
        <w:spacing w:after="60" w:before="60" w:line="24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381250"/>
                    </a:xfrm>
                    <a:prstGeom prst="rect">
                      <a:avLst/>
                    </a:prstGeom>
                  </pic:spPr>
                </pic:pic>
              </a:graphicData>
            </a:graphic>
          </wp:inline>
        </w:drawing>
      </w:r>
    </w:p>
    <w:p>
      <w:pPr>
        <w:spacing w:after="240" w:line="240"/>
        <w:jc w:val="center"/>
      </w:pPr>
      <w:r>
        <w:t xml:space="preserve">Fig. 1. Architecture comparison of BattleNet versus 11 baseline models.</w:t>
      </w:r>
    </w:p>
    <w:p>
      <w:pPr>
        <w:spacing w:after="60" w:before="60" w:line="24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40" w:line="240"/>
        <w:jc w:val="center"/>
      </w:pPr>
      <w:r>
        <w:t xml:space="preserve">Fig. 2. BattleNet architecture with dual backbones, fusion module, and label co-occurrence refinement.</w:t>
      </w:r>
    </w:p>
    <w:p>
      <w:pPr>
        <w:spacing w:after="60" w:before="60" w:line="240"/>
      </w:pPr>
      <w:r>
        <w:rPr>
          <w:rFonts w:ascii="Times New Roman" w:cs="Times New Roman" w:eastAsia="Times New Roman" w:hAnsi="Times New Roman"/>
          <w:b/>
          <w:bCs/>
          <w:sz w:val="20"/>
          <w:szCs w:val="20"/>
        </w:rPr>
        <w:t xml:space="preserve">B. Dual Backbone Feature Extraction</w:t>
      </w:r>
    </w:p>
    <w:p>
      <w:pPr>
        <w:spacing w:after="120" w:line="240"/>
        <w:jc w:val="both"/>
      </w:pPr>
      <w:r>
        <w:t xml:space="preserve">BattleNet employs two parallel backbones pretrained on ImageNet-21k:</w:t>
      </w:r>
    </w:p>
    <w:p>
      <w:pPr>
        <w:spacing w:after="120" w:line="240"/>
        <w:jc w:val="both"/>
      </w:pPr>
      <w:r>
        <w:t xml:space="preserve">(1) EfficientNet-V2-S extracts CNN features of dimension 1280, capturing local object details such as textures, edges, and shape variations.</w:t>
      </w:r>
    </w:p>
    <w:p>
      <w:pPr>
        <w:spacing w:after="120" w:line="240"/>
        <w:jc w:val="both"/>
      </w:pPr>
      <w:r>
        <w:t xml:space="preserve">(2) Swin Transformer extracts Transformer features of dimension 768, capturing global spatial context and long-range dependencies through hierarchical attention.</w:t>
      </w:r>
    </w:p>
    <w:p>
      <w:pPr>
        <w:spacing w:after="60" w:before="60" w:line="240"/>
      </w:pPr>
      <w:r>
        <w:rPr>
          <w:rFonts w:ascii="Times New Roman" w:cs="Times New Roman" w:eastAsia="Times New Roman" w:hAnsi="Times New Roman"/>
          <w:b/>
          <w:bCs/>
          <w:sz w:val="20"/>
          <w:szCs w:val="20"/>
        </w:rPr>
        <w:t xml:space="preserve">C. Bilinear Interaction Fusion</w:t>
      </w:r>
    </w:p>
    <w:p>
      <w:pPr>
        <w:spacing w:after="120" w:line="240"/>
        <w:jc w:val="both"/>
      </w:pPr>
      <w:r>
        <w:t xml:space="preserve">Features from both backbones are fused through three stages:</w:t>
      </w:r>
    </w:p>
    <w:p>
      <w:pPr>
        <w:spacing w:after="120" w:line="240"/>
        <w:jc w:val="both"/>
      </w:pPr>
      <w:r>
        <w:t xml:space="preserve">(1) Project CNN features c and Transformer features t to shared 512-dimensional space.</w:t>
      </w:r>
    </w:p>
    <w:p>
      <w:pPr>
        <w:spacing w:after="120" w:line="240"/>
        <w:jc w:val="both"/>
      </w:pPr>
      <w:r>
        <w:t xml:space="preserve">(2) Concatenate four interaction terms: [c, t, c ⊙ t, c − t] yielding 1536 dimensions.</w:t>
      </w:r>
    </w:p>
    <w:p>
      <w:pPr>
        <w:spacing w:after="120" w:line="240"/>
        <w:jc w:val="both"/>
      </w:pPr>
      <w:r>
        <w:t xml:space="preserve">(3) Pass through MLP with LayerNorm and GELU activation to produce 512-dimensional fused features.</w:t>
      </w:r>
    </w:p>
    <w:p>
      <w:pPr>
        <w:spacing w:after="60" w:before="60" w:line="240"/>
      </w:pPr>
      <w:r>
        <w:rPr>
          <w:rFonts w:ascii="Times New Roman" w:cs="Times New Roman" w:eastAsia="Times New Roman" w:hAnsi="Times New Roman"/>
          <w:b/>
          <w:bCs/>
          <w:sz w:val="20"/>
          <w:szCs w:val="20"/>
        </w:rPr>
        <w:t xml:space="preserve">D. Squeeze-and-Excitation Recalibration</w:t>
      </w:r>
    </w:p>
    <w:p>
      <w:pPr>
        <w:spacing w:after="120" w:line="240"/>
        <w:jc w:val="both"/>
      </w:pPr>
      <w:r>
        <w:t xml:space="preserve">SE modules [7] apply channel-wise attention to the fused features, computing learned channel weights that emphasize discriminative feature maps and suppress less relevant channels. This recalibration improves the quality of fused representations before label co-occurrence refinement.</w:t>
      </w:r>
    </w:p>
    <w:p>
      <w:pPr>
        <w:spacing w:after="60" w:before="60" w:line="240"/>
      </w:pPr>
      <w:r>
        <w:rPr>
          <w:rFonts w:ascii="Times New Roman" w:cs="Times New Roman" w:eastAsia="Times New Roman" w:hAnsi="Times New Roman"/>
          <w:b/>
          <w:bCs/>
          <w:sz w:val="20"/>
          <w:szCs w:val="20"/>
        </w:rPr>
        <w:t xml:space="preserve">E. Label Co-Occurrence Module</w:t>
      </w:r>
    </w:p>
    <w:p>
      <w:pPr>
        <w:spacing w:after="120" w:line="240"/>
        <w:jc w:val="both"/>
      </w:pPr>
      <w:r>
        <w:t xml:space="preserve">Military scenes exhibit strong correlations between object classes. A learnable 7×7 interaction matrix models which objects frequently co-appear. This module refines per-class predictions by adjusting logits based on predicted class probabilities and their interactions, improving consistency and reducing conflicting predictions.</w:t>
      </w:r>
    </w:p>
    <w:p>
      <w:pPr>
        <w:spacing w:after="60" w:before="60" w:line="240"/>
      </w:pPr>
      <w:r>
        <w:rPr>
          <w:rFonts w:ascii="Times New Roman" w:cs="Times New Roman" w:eastAsia="Times New Roman" w:hAnsi="Times New Roman"/>
          <w:b/>
          <w:bCs/>
          <w:sz w:val="20"/>
          <w:szCs w:val="20"/>
        </w:rPr>
        <w:t xml:space="preserve">F. Training Strategy</w:t>
      </w:r>
    </w:p>
    <w:p>
      <w:pPr>
        <w:spacing w:after="240" w:line="240"/>
        <w:jc w:val="both"/>
      </w:pPr>
      <w:r>
        <w:t xml:space="preserve">BattleNet employs a two-phase training strategy: (1) Head Training (10 epochs): fusion module and label co-occurrence layers train while backbones remain frozen. (2) Full Fine-tuning (20 epochs): entire network trains end-to-end with lower learning rates. Optimization uses AdamW with cosine annealing decay. Multi-label loss combines binary cross-entropy and focal loss to handle class imbalance.</w:t>
      </w:r>
    </w:p>
    <w:p>
      <w:pPr>
        <w:spacing w:after="120" w:before="120" w:line="240"/>
        <w:jc w:val="center"/>
      </w:pPr>
      <w:r>
        <w:t xml:space="preserve">IV. EXPERIMENTAL SETUP</w:t>
      </w:r>
    </w:p>
    <w:p>
      <w:pPr>
        <w:spacing w:after="60" w:before="60" w:line="240"/>
      </w:pPr>
      <w:r>
        <w:rPr>
          <w:rFonts w:ascii="Times New Roman" w:cs="Times New Roman" w:eastAsia="Times New Roman" w:hAnsi="Times New Roman"/>
          <w:b/>
          <w:bCs/>
          <w:sz w:val="20"/>
          <w:szCs w:val="20"/>
        </w:rPr>
        <w:t xml:space="preserve">A. Dataset</w:t>
      </w:r>
    </w:p>
    <w:p>
      <w:pPr>
        <w:spacing w:after="120" w:line="240"/>
        <w:jc w:val="both"/>
      </w:pPr>
      <w:r>
        <w:t xml:space="preserve">The KIIT-MiTA dataset contains 1530 military images with 7 classes: Radar, Artillery, M.Rocket, Missile, Tank, Vehicle, and Soldier. Each image may contain multiple objects (multi-label). Class distribution exhibits imbalance typical of military applications, with Radar and Artillery more prevalent than Soldiers and Missiles.</w:t>
      </w:r>
    </w:p>
    <w:p>
      <w:pPr>
        <w:spacing w:after="60" w:before="60" w:line="240"/>
      </w:pPr>
      <w:r>
        <w:rPr>
          <w:rFonts w:ascii="Times New Roman" w:cs="Times New Roman" w:eastAsia="Times New Roman" w:hAnsi="Times New Roman"/>
          <w:b/>
          <w:bCs/>
          <w:sz w:val="20"/>
          <w:szCs w:val="20"/>
        </w:rPr>
        <w:t xml:space="preserve">B. Baseline Models</w:t>
      </w:r>
    </w:p>
    <w:p>
      <w:pPr>
        <w:spacing w:after="120" w:line="240"/>
        <w:jc w:val="both"/>
      </w:pPr>
      <w:r>
        <w:t xml:space="preserve">We compare BattleNet against 11 baseline architectures, all using default configurations without hyperparameter tuning: VGG16, ResNet-18, ResNet-34, ResNet-50, DenseNet-121, MobileNetV2, EfficientNet-B0, EfficientNetV2-S, ConvNeXt-Tiny, ViT-B/16, and Swin-Transformer-T. This ensures fair comparison highlighting architectural differences rather than tuning advantages.</w:t>
      </w:r>
    </w:p>
    <w:p>
      <w:pPr>
        <w:spacing w:after="60" w:before="60" w:line="240"/>
      </w:pPr>
      <w:r>
        <w:rPr>
          <w:rFonts w:ascii="Times New Roman" w:cs="Times New Roman" w:eastAsia="Times New Roman" w:hAnsi="Times New Roman"/>
          <w:b/>
          <w:bCs/>
          <w:sz w:val="20"/>
          <w:szCs w:val="20"/>
        </w:rPr>
        <w:t xml:space="preserve">C. Evaluation Metrics</w:t>
      </w:r>
    </w:p>
    <w:p>
      <w:pPr>
        <w:spacing w:after="120" w:line="240"/>
        <w:jc w:val="both"/>
      </w:pPr>
      <w:r>
        <w:t xml:space="preserve">Primary metrics: (1) Micro F1 (averages TP, FP, FN across all labels), (2) Macro F1 (averages F1 per-class), (3) Exact Match Accuracy (all labels correct). Per-class metrics: precision, recall, and F1 score. These metrics appropriately capture multi-label classification performance.</w:t>
      </w:r>
    </w:p>
    <w:p>
      <w:pPr>
        <w:spacing w:after="60" w:before="60" w:line="240"/>
      </w:pPr>
      <w:r>
        <w:rPr>
          <w:rFonts w:ascii="Times New Roman" w:cs="Times New Roman" w:eastAsia="Times New Roman" w:hAnsi="Times New Roman"/>
          <w:b/>
          <w:bCs/>
          <w:sz w:val="20"/>
          <w:szCs w:val="20"/>
        </w:rPr>
        <w:t xml:space="preserve">D. Implementation Details</w:t>
      </w:r>
    </w:p>
    <w:p>
      <w:pPr>
        <w:spacing w:after="240" w:line="240"/>
        <w:jc w:val="both"/>
      </w:pPr>
      <w:r>
        <w:t xml:space="preserve">Framework: PyTorch. Input resolution: 224×224. Backbones: ImageNet-21k pretrained. Batch size: 32. Learning rate: 2×10⁻⁵ (head training), 5×10⁻⁶ (fine-tuning). Weight decay: 0.01. Scheduler: cosine annealing. Augmentation: RandomCrop, HorizontalFlip, ColorJitter, GaussianBlur.</w:t>
      </w:r>
    </w:p>
    <w:p>
      <w:pPr>
        <w:spacing w:after="120" w:before="120" w:line="240"/>
        <w:jc w:val="center"/>
      </w:pPr>
      <w:r>
        <w:t xml:space="preserve">V. RESULTS AND ANALYSIS</w:t>
      </w:r>
    </w:p>
    <w:p>
      <w:pPr>
        <w:spacing w:after="60" w:before="60" w:line="240"/>
      </w:pPr>
      <w:r>
        <w:rPr>
          <w:rFonts w:ascii="Times New Roman" w:cs="Times New Roman" w:eastAsia="Times New Roman" w:hAnsi="Times New Roman"/>
          <w:b/>
          <w:bCs/>
          <w:sz w:val="20"/>
          <w:szCs w:val="20"/>
        </w:rPr>
        <w:t xml:space="preserve">A. Overall Performance</w:t>
      </w:r>
    </w:p>
    <w:p>
      <w:pPr>
        <w:spacing w:after="120" w:line="240"/>
        <w:jc w:val="both"/>
      </w:pPr>
      <w:r>
        <w:t xml:space="preserve">Table I presents comprehensive results across all baseline architectures and BattleNet. BattleNet achieves Macro F1 of 0.8063, ranking second only to Swin-T baseline (0.8173), with only 1.4% gap. For Micro F1, BattleNet scores 0.7846, competitive with most single-backbone models and only 2.4% below the best baseline (Swin-T at 0.8083).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6"/>
              <w:left w:val="single" w:color="000000" w:sz="6"/>
              <w:bottom w:val="single" w:color="000000" w:sz="6"/>
              <w:right w:val="single" w:color="000000" w:sz="6"/>
            </w:tcBorders>
            <w:shd w:fill="E8E8E8"/>
          </w:tcPr>
          <w:p>
            <w:r>
              <w:t xml:space="preserve">Architecture</w:t>
            </w:r>
          </w:p>
        </w:tc>
        <w:tc>
          <w:tcPr>
            <w:tcBorders>
              <w:top w:val="single" w:color="000000" w:sz="6"/>
              <w:left w:val="single" w:color="000000" w:sz="6"/>
              <w:bottom w:val="single" w:color="000000" w:sz="6"/>
              <w:right w:val="single" w:color="000000" w:sz="6"/>
            </w:tcBorders>
            <w:shd w:fill="E8E8E8"/>
          </w:tcPr>
          <w:p>
            <w:r>
              <w:t xml:space="preserve">Micro F1</w:t>
            </w:r>
          </w:p>
        </w:tc>
        <w:tc>
          <w:tcPr>
            <w:tcBorders>
              <w:top w:val="single" w:color="000000" w:sz="6"/>
              <w:left w:val="single" w:color="000000" w:sz="6"/>
              <w:bottom w:val="single" w:color="000000" w:sz="6"/>
              <w:right w:val="single" w:color="000000" w:sz="6"/>
            </w:tcBorders>
            <w:shd w:fill="E8E8E8"/>
          </w:tcPr>
          <w:p>
            <w:r>
              <w:t xml:space="preserve">Macro F1</w:t>
            </w:r>
          </w:p>
        </w:tc>
        <w:tc>
          <w:tcPr>
            <w:tcBorders>
              <w:top w:val="single" w:color="000000" w:sz="6"/>
              <w:left w:val="single" w:color="000000" w:sz="6"/>
              <w:bottom w:val="single" w:color="000000" w:sz="6"/>
              <w:right w:val="single" w:color="000000" w:sz="6"/>
            </w:tcBorders>
            <w:shd w:fill="E8E8E8"/>
          </w:tcPr>
          <w:p>
            <w:r>
              <w:t xml:space="preserve">Exact Match</w:t>
            </w:r>
          </w:p>
        </w:tc>
      </w:tr>
      <w:tr>
        <w:tc>
          <w:tcPr>
            <w:tcBorders>
              <w:top w:val="single" w:color="000000" w:sz="1"/>
              <w:left w:val="single" w:color="000000" w:sz="1"/>
              <w:bottom w:val="single" w:color="000000" w:sz="1"/>
              <w:right w:val="single" w:color="000000" w:sz="1"/>
            </w:tcBorders>
          </w:tcPr>
          <w:p>
            <w:r>
              <w:t xml:space="preserve">VGG16</w:t>
            </w:r>
          </w:p>
        </w:tc>
        <w:tc>
          <w:tcPr>
            <w:tcBorders>
              <w:top w:val="single" w:color="000000" w:sz="1"/>
              <w:left w:val="single" w:color="000000" w:sz="1"/>
              <w:bottom w:val="single" w:color="000000" w:sz="1"/>
              <w:right w:val="single" w:color="000000" w:sz="1"/>
            </w:tcBorders>
          </w:tcPr>
          <w:p>
            <w:r>
              <w:t xml:space="preserve">0.7021</w:t>
            </w:r>
          </w:p>
        </w:tc>
        <w:tc>
          <w:tcPr>
            <w:tcBorders>
              <w:top w:val="single" w:color="000000" w:sz="1"/>
              <w:left w:val="single" w:color="000000" w:sz="1"/>
              <w:bottom w:val="single" w:color="000000" w:sz="1"/>
              <w:right w:val="single" w:color="000000" w:sz="1"/>
            </w:tcBorders>
          </w:tcPr>
          <w:p>
            <w:r>
              <w:t xml:space="preserve">0.7143</w:t>
            </w:r>
          </w:p>
        </w:tc>
        <w:tc>
          <w:tcPr>
            <w:tcBorders>
              <w:top w:val="single" w:color="000000" w:sz="1"/>
              <w:left w:val="single" w:color="000000" w:sz="1"/>
              <w:bottom w:val="single" w:color="000000" w:sz="1"/>
              <w:right w:val="single" w:color="000000" w:sz="1"/>
            </w:tcBorders>
          </w:tcPr>
          <w:p>
            <w:r>
              <w:t xml:space="preserve">0.5118</w:t>
            </w:r>
          </w:p>
        </w:tc>
      </w:tr>
      <w:tr>
        <w:tc>
          <w:tcPr>
            <w:tcBorders>
              <w:top w:val="single" w:color="000000" w:sz="1"/>
              <w:left w:val="single" w:color="000000" w:sz="1"/>
              <w:bottom w:val="single" w:color="000000" w:sz="1"/>
              <w:right w:val="single" w:color="000000" w:sz="1"/>
            </w:tcBorders>
          </w:tcPr>
          <w:p>
            <w:r>
              <w:t xml:space="preserve">ResNet-18</w:t>
            </w:r>
          </w:p>
        </w:tc>
        <w:tc>
          <w:tcPr>
            <w:tcBorders>
              <w:top w:val="single" w:color="000000" w:sz="1"/>
              <w:left w:val="single" w:color="000000" w:sz="1"/>
              <w:bottom w:val="single" w:color="000000" w:sz="1"/>
              <w:right w:val="single" w:color="000000" w:sz="1"/>
            </w:tcBorders>
          </w:tcPr>
          <w:p>
            <w:r>
              <w:t xml:space="preserve">0.7245</w:t>
            </w:r>
          </w:p>
        </w:tc>
        <w:tc>
          <w:tcPr>
            <w:tcBorders>
              <w:top w:val="single" w:color="000000" w:sz="1"/>
              <w:left w:val="single" w:color="000000" w:sz="1"/>
              <w:bottom w:val="single" w:color="000000" w:sz="1"/>
              <w:right w:val="single" w:color="000000" w:sz="1"/>
            </w:tcBorders>
          </w:tcPr>
          <w:p>
            <w:r>
              <w:t xml:space="preserve">0.7421</w:t>
            </w:r>
          </w:p>
        </w:tc>
        <w:tc>
          <w:tcPr>
            <w:tcBorders>
              <w:top w:val="single" w:color="000000" w:sz="1"/>
              <w:left w:val="single" w:color="000000" w:sz="1"/>
              <w:bottom w:val="single" w:color="000000" w:sz="1"/>
              <w:right w:val="single" w:color="000000" w:sz="1"/>
            </w:tcBorders>
          </w:tcPr>
          <w:p>
            <w:r>
              <w:t xml:space="preserve">0.5400</w:t>
            </w:r>
          </w:p>
        </w:tc>
      </w:tr>
      <w:tr>
        <w:tc>
          <w:tcPr>
            <w:tcBorders>
              <w:top w:val="single" w:color="000000" w:sz="1"/>
              <w:left w:val="single" w:color="000000" w:sz="1"/>
              <w:bottom w:val="single" w:color="000000" w:sz="1"/>
              <w:right w:val="single" w:color="000000" w:sz="1"/>
            </w:tcBorders>
          </w:tcPr>
          <w:p>
            <w:r>
              <w:t xml:space="preserve">ResNet-34</w:t>
            </w:r>
          </w:p>
        </w:tc>
        <w:tc>
          <w:tcPr>
            <w:tcBorders>
              <w:top w:val="single" w:color="000000" w:sz="1"/>
              <w:left w:val="single" w:color="000000" w:sz="1"/>
              <w:bottom w:val="single" w:color="000000" w:sz="1"/>
              <w:right w:val="single" w:color="000000" w:sz="1"/>
            </w:tcBorders>
          </w:tcPr>
          <w:p>
            <w:r>
              <w:t xml:space="preserve">0.7312</w:t>
            </w:r>
          </w:p>
        </w:tc>
        <w:tc>
          <w:tcPr>
            <w:tcBorders>
              <w:top w:val="single" w:color="000000" w:sz="1"/>
              <w:left w:val="single" w:color="000000" w:sz="1"/>
              <w:bottom w:val="single" w:color="000000" w:sz="1"/>
              <w:right w:val="single" w:color="000000" w:sz="1"/>
            </w:tcBorders>
          </w:tcPr>
          <w:p>
            <w:r>
              <w:t xml:space="preserve">0.7489</w:t>
            </w:r>
          </w:p>
        </w:tc>
        <w:tc>
          <w:tcPr>
            <w:tcBorders>
              <w:top w:val="single" w:color="000000" w:sz="1"/>
              <w:left w:val="single" w:color="000000" w:sz="1"/>
              <w:bottom w:val="single" w:color="000000" w:sz="1"/>
              <w:right w:val="single" w:color="000000" w:sz="1"/>
            </w:tcBorders>
          </w:tcPr>
          <w:p>
            <w:r>
              <w:t xml:space="preserve">0.5606</w:t>
            </w:r>
          </w:p>
        </w:tc>
      </w:tr>
      <w:tr>
        <w:tc>
          <w:tcPr>
            <w:tcBorders>
              <w:top w:val="single" w:color="000000" w:sz="1"/>
              <w:left w:val="single" w:color="000000" w:sz="1"/>
              <w:bottom w:val="single" w:color="000000" w:sz="1"/>
              <w:right w:val="single" w:color="000000" w:sz="1"/>
            </w:tcBorders>
          </w:tcPr>
          <w:p>
            <w:r>
              <w:t xml:space="preserve">ResNet-50</w:t>
            </w:r>
          </w:p>
        </w:tc>
        <w:tc>
          <w:tcPr>
            <w:tcBorders>
              <w:top w:val="single" w:color="000000" w:sz="1"/>
              <w:left w:val="single" w:color="000000" w:sz="1"/>
              <w:bottom w:val="single" w:color="000000" w:sz="1"/>
              <w:right w:val="single" w:color="000000" w:sz="1"/>
            </w:tcBorders>
          </w:tcPr>
          <w:p>
            <w:r>
              <w:t xml:space="preserve">0.7598</w:t>
            </w:r>
          </w:p>
        </w:tc>
        <w:tc>
          <w:tcPr>
            <w:tcBorders>
              <w:top w:val="single" w:color="000000" w:sz="1"/>
              <w:left w:val="single" w:color="000000" w:sz="1"/>
              <w:bottom w:val="single" w:color="000000" w:sz="1"/>
              <w:right w:val="single" w:color="000000" w:sz="1"/>
            </w:tcBorders>
          </w:tcPr>
          <w:p>
            <w:r>
              <w:t xml:space="preserve">0.7725</w:t>
            </w:r>
          </w:p>
        </w:tc>
        <w:tc>
          <w:tcPr>
            <w:tcBorders>
              <w:top w:val="single" w:color="000000" w:sz="1"/>
              <w:left w:val="single" w:color="000000" w:sz="1"/>
              <w:bottom w:val="single" w:color="000000" w:sz="1"/>
              <w:right w:val="single" w:color="000000" w:sz="1"/>
            </w:tcBorders>
          </w:tcPr>
          <w:p>
            <w:r>
              <w:t xml:space="preserve">0.6118</w:t>
            </w:r>
          </w:p>
        </w:tc>
      </w:tr>
      <w:tr>
        <w:tc>
          <w:tcPr>
            <w:tcBorders>
              <w:top w:val="single" w:color="000000" w:sz="1"/>
              <w:left w:val="single" w:color="000000" w:sz="1"/>
              <w:bottom w:val="single" w:color="000000" w:sz="1"/>
              <w:right w:val="single" w:color="000000" w:sz="1"/>
            </w:tcBorders>
          </w:tcPr>
          <w:p>
            <w:r>
              <w:t xml:space="preserve">DenseNet-121</w:t>
            </w:r>
          </w:p>
        </w:tc>
        <w:tc>
          <w:tcPr>
            <w:tcBorders>
              <w:top w:val="single" w:color="000000" w:sz="1"/>
              <w:left w:val="single" w:color="000000" w:sz="1"/>
              <w:bottom w:val="single" w:color="000000" w:sz="1"/>
              <w:right w:val="single" w:color="000000" w:sz="1"/>
            </w:tcBorders>
          </w:tcPr>
          <w:p>
            <w:r>
              <w:t xml:space="preserve">0.7830</w:t>
            </w:r>
          </w:p>
        </w:tc>
        <w:tc>
          <w:tcPr>
            <w:tcBorders>
              <w:top w:val="single" w:color="000000" w:sz="1"/>
              <w:left w:val="single" w:color="000000" w:sz="1"/>
              <w:bottom w:val="single" w:color="000000" w:sz="1"/>
              <w:right w:val="single" w:color="000000" w:sz="1"/>
            </w:tcBorders>
          </w:tcPr>
          <w:p>
            <w:r>
              <w:t xml:space="preserve">0.7954</w:t>
            </w:r>
          </w:p>
        </w:tc>
        <w:tc>
          <w:tcPr>
            <w:tcBorders>
              <w:top w:val="single" w:color="000000" w:sz="1"/>
              <w:left w:val="single" w:color="000000" w:sz="1"/>
              <w:bottom w:val="single" w:color="000000" w:sz="1"/>
              <w:right w:val="single" w:color="000000" w:sz="1"/>
            </w:tcBorders>
          </w:tcPr>
          <w:p>
            <w:r>
              <w:t xml:space="preserve">0.6412</w:t>
            </w:r>
          </w:p>
        </w:tc>
      </w:tr>
      <w:tr>
        <w:tc>
          <w:tcPr>
            <w:tcBorders>
              <w:top w:val="single" w:color="000000" w:sz="1"/>
              <w:left w:val="single" w:color="000000" w:sz="1"/>
              <w:bottom w:val="single" w:color="000000" w:sz="1"/>
              <w:right w:val="single" w:color="000000" w:sz="1"/>
            </w:tcBorders>
          </w:tcPr>
          <w:p>
            <w:r>
              <w:t xml:space="preserve">MobileNetV2</w:t>
            </w:r>
          </w:p>
        </w:tc>
        <w:tc>
          <w:tcPr>
            <w:tcBorders>
              <w:top w:val="single" w:color="000000" w:sz="1"/>
              <w:left w:val="single" w:color="000000" w:sz="1"/>
              <w:bottom w:val="single" w:color="000000" w:sz="1"/>
              <w:right w:val="single" w:color="000000" w:sz="1"/>
            </w:tcBorders>
          </w:tcPr>
          <w:p>
            <w:r>
              <w:t xml:space="preserve">0.7412</w:t>
            </w:r>
          </w:p>
        </w:tc>
        <w:tc>
          <w:tcPr>
            <w:tcBorders>
              <w:top w:val="single" w:color="000000" w:sz="1"/>
              <w:left w:val="single" w:color="000000" w:sz="1"/>
              <w:bottom w:val="single" w:color="000000" w:sz="1"/>
              <w:right w:val="single" w:color="000000" w:sz="1"/>
            </w:tcBorders>
          </w:tcPr>
          <w:p>
            <w:r>
              <w:t xml:space="preserve">0.7602</w:t>
            </w:r>
          </w:p>
        </w:tc>
        <w:tc>
          <w:tcPr>
            <w:tcBorders>
              <w:top w:val="single" w:color="000000" w:sz="1"/>
              <w:left w:val="single" w:color="000000" w:sz="1"/>
              <w:bottom w:val="single" w:color="000000" w:sz="1"/>
              <w:right w:val="single" w:color="000000" w:sz="1"/>
            </w:tcBorders>
          </w:tcPr>
          <w:p>
            <w:r>
              <w:t xml:space="preserve">0.5824</w:t>
            </w:r>
          </w:p>
        </w:tc>
      </w:tr>
      <w:tr>
        <w:tc>
          <w:tcPr>
            <w:tcBorders>
              <w:top w:val="single" w:color="000000" w:sz="1"/>
              <w:left w:val="single" w:color="000000" w:sz="1"/>
              <w:bottom w:val="single" w:color="000000" w:sz="1"/>
              <w:right w:val="single" w:color="000000" w:sz="1"/>
            </w:tcBorders>
          </w:tcPr>
          <w:p>
            <w:r>
              <w:t xml:space="preserve">EfficientNet-B0</w:t>
            </w:r>
          </w:p>
        </w:tc>
        <w:tc>
          <w:tcPr>
            <w:tcBorders>
              <w:top w:val="single" w:color="000000" w:sz="1"/>
              <w:left w:val="single" w:color="000000" w:sz="1"/>
              <w:bottom w:val="single" w:color="000000" w:sz="1"/>
              <w:right w:val="single" w:color="000000" w:sz="1"/>
            </w:tcBorders>
          </w:tcPr>
          <w:p>
            <w:r>
              <w:t xml:space="preserve">0.7645</w:t>
            </w:r>
          </w:p>
        </w:tc>
        <w:tc>
          <w:tcPr>
            <w:tcBorders>
              <w:top w:val="single" w:color="000000" w:sz="1"/>
              <w:left w:val="single" w:color="000000" w:sz="1"/>
              <w:bottom w:val="single" w:color="000000" w:sz="1"/>
              <w:right w:val="single" w:color="000000" w:sz="1"/>
            </w:tcBorders>
          </w:tcPr>
          <w:p>
            <w:r>
              <w:t xml:space="preserve">0.7798</w:t>
            </w:r>
          </w:p>
        </w:tc>
        <w:tc>
          <w:tcPr>
            <w:tcBorders>
              <w:top w:val="single" w:color="000000" w:sz="1"/>
              <w:left w:val="single" w:color="000000" w:sz="1"/>
              <w:bottom w:val="single" w:color="000000" w:sz="1"/>
              <w:right w:val="single" w:color="000000" w:sz="1"/>
            </w:tcBorders>
          </w:tcPr>
          <w:p>
            <w:r>
              <w:t xml:space="preserve">0.6059</w:t>
            </w:r>
          </w:p>
        </w:tc>
      </w:tr>
      <w:tr>
        <w:tc>
          <w:tcPr>
            <w:tcBorders>
              <w:top w:val="single" w:color="000000" w:sz="1"/>
              <w:left w:val="single" w:color="000000" w:sz="1"/>
              <w:bottom w:val="single" w:color="000000" w:sz="1"/>
              <w:right w:val="single" w:color="000000" w:sz="1"/>
            </w:tcBorders>
          </w:tcPr>
          <w:p>
            <w:r>
              <w:t xml:space="preserve">EfficientNetV2-S</w:t>
            </w:r>
          </w:p>
        </w:tc>
        <w:tc>
          <w:tcPr>
            <w:tcBorders>
              <w:top w:val="single" w:color="000000" w:sz="1"/>
              <w:left w:val="single" w:color="000000" w:sz="1"/>
              <w:bottom w:val="single" w:color="000000" w:sz="1"/>
              <w:right w:val="single" w:color="000000" w:sz="1"/>
            </w:tcBorders>
          </w:tcPr>
          <w:p>
            <w:r>
              <w:t xml:space="preserve">0.7926</w:t>
            </w:r>
          </w:p>
        </w:tc>
        <w:tc>
          <w:tcPr>
            <w:tcBorders>
              <w:top w:val="single" w:color="000000" w:sz="1"/>
              <w:left w:val="single" w:color="000000" w:sz="1"/>
              <w:bottom w:val="single" w:color="000000" w:sz="1"/>
              <w:right w:val="single" w:color="000000" w:sz="1"/>
            </w:tcBorders>
          </w:tcPr>
          <w:p>
            <w:r>
              <w:t xml:space="preserve">0.8016</w:t>
            </w:r>
          </w:p>
        </w:tc>
        <w:tc>
          <w:tcPr>
            <w:tcBorders>
              <w:top w:val="single" w:color="000000" w:sz="1"/>
              <w:left w:val="single" w:color="000000" w:sz="1"/>
              <w:bottom w:val="single" w:color="000000" w:sz="1"/>
              <w:right w:val="single" w:color="000000" w:sz="1"/>
            </w:tcBorders>
          </w:tcPr>
          <w:p>
            <w:r>
              <w:t xml:space="preserve">0.6412</w:t>
            </w:r>
          </w:p>
        </w:tc>
      </w:tr>
      <w:tr>
        <w:tc>
          <w:tcPr>
            <w:tcBorders>
              <w:top w:val="single" w:color="000000" w:sz="1"/>
              <w:left w:val="single" w:color="000000" w:sz="1"/>
              <w:bottom w:val="single" w:color="000000" w:sz="1"/>
              <w:right w:val="single" w:color="000000" w:sz="1"/>
            </w:tcBorders>
          </w:tcPr>
          <w:p>
            <w:r>
              <w:t xml:space="preserve">ConvNeXt-Tiny</w:t>
            </w:r>
          </w:p>
        </w:tc>
        <w:tc>
          <w:tcPr>
            <w:tcBorders>
              <w:top w:val="single" w:color="000000" w:sz="1"/>
              <w:left w:val="single" w:color="000000" w:sz="1"/>
              <w:bottom w:val="single" w:color="000000" w:sz="1"/>
              <w:right w:val="single" w:color="000000" w:sz="1"/>
            </w:tcBorders>
          </w:tcPr>
          <w:p>
            <w:r>
              <w:t xml:space="preserve">0.7854</w:t>
            </w:r>
          </w:p>
        </w:tc>
        <w:tc>
          <w:tcPr>
            <w:tcBorders>
              <w:top w:val="single" w:color="000000" w:sz="1"/>
              <w:left w:val="single" w:color="000000" w:sz="1"/>
              <w:bottom w:val="single" w:color="000000" w:sz="1"/>
              <w:right w:val="single" w:color="000000" w:sz="1"/>
            </w:tcBorders>
          </w:tcPr>
          <w:p>
            <w:r>
              <w:t xml:space="preserve">0.7955</w:t>
            </w:r>
          </w:p>
        </w:tc>
        <w:tc>
          <w:tcPr>
            <w:tcBorders>
              <w:top w:val="single" w:color="000000" w:sz="1"/>
              <w:left w:val="single" w:color="000000" w:sz="1"/>
              <w:bottom w:val="single" w:color="000000" w:sz="1"/>
              <w:right w:val="single" w:color="000000" w:sz="1"/>
            </w:tcBorders>
          </w:tcPr>
          <w:p>
            <w:r>
              <w:t xml:space="preserve">0.6235</w:t>
            </w:r>
          </w:p>
        </w:tc>
      </w:tr>
      <w:tr>
        <w:tc>
          <w:tcPr>
            <w:tcBorders>
              <w:top w:val="single" w:color="000000" w:sz="1"/>
              <w:left w:val="single" w:color="000000" w:sz="1"/>
              <w:bottom w:val="single" w:color="000000" w:sz="1"/>
              <w:right w:val="single" w:color="000000" w:sz="1"/>
            </w:tcBorders>
          </w:tcPr>
          <w:p>
            <w:r>
              <w:t xml:space="preserve">ViT-B/16</w:t>
            </w:r>
          </w:p>
        </w:tc>
        <w:tc>
          <w:tcPr>
            <w:tcBorders>
              <w:top w:val="single" w:color="000000" w:sz="1"/>
              <w:left w:val="single" w:color="000000" w:sz="1"/>
              <w:bottom w:val="single" w:color="000000" w:sz="1"/>
              <w:right w:val="single" w:color="000000" w:sz="1"/>
            </w:tcBorders>
          </w:tcPr>
          <w:p>
            <w:r>
              <w:t xml:space="preserve">0.7563</w:t>
            </w:r>
          </w:p>
        </w:tc>
        <w:tc>
          <w:tcPr>
            <w:tcBorders>
              <w:top w:val="single" w:color="000000" w:sz="1"/>
              <w:left w:val="single" w:color="000000" w:sz="1"/>
              <w:bottom w:val="single" w:color="000000" w:sz="1"/>
              <w:right w:val="single" w:color="000000" w:sz="1"/>
            </w:tcBorders>
          </w:tcPr>
          <w:p>
            <w:r>
              <w:t xml:space="preserve">0.7747</w:t>
            </w:r>
          </w:p>
        </w:tc>
        <w:tc>
          <w:tcPr>
            <w:tcBorders>
              <w:top w:val="single" w:color="000000" w:sz="1"/>
              <w:left w:val="single" w:color="000000" w:sz="1"/>
              <w:bottom w:val="single" w:color="000000" w:sz="1"/>
              <w:right w:val="single" w:color="000000" w:sz="1"/>
            </w:tcBorders>
          </w:tcPr>
          <w:p>
            <w:r>
              <w:t xml:space="preserve">0.5882</w:t>
            </w:r>
          </w:p>
        </w:tc>
      </w:tr>
      <w:tr>
        <w:tc>
          <w:tcPr>
            <w:tcBorders>
              <w:top w:val="single" w:color="000000" w:sz="1"/>
              <w:left w:val="single" w:color="000000" w:sz="1"/>
              <w:bottom w:val="single" w:color="000000" w:sz="1"/>
              <w:right w:val="single" w:color="000000" w:sz="1"/>
            </w:tcBorders>
          </w:tcPr>
          <w:p>
            <w:r>
              <w:t xml:space="preserve">Swin-T</w:t>
            </w:r>
          </w:p>
        </w:tc>
        <w:tc>
          <w:tcPr>
            <w:tcBorders>
              <w:top w:val="single" w:color="000000" w:sz="1"/>
              <w:left w:val="single" w:color="000000" w:sz="1"/>
              <w:bottom w:val="single" w:color="000000" w:sz="1"/>
              <w:right w:val="single" w:color="000000" w:sz="1"/>
            </w:tcBorders>
          </w:tcPr>
          <w:p>
            <w:r>
              <w:t xml:space="preserve">0.8083</w:t>
            </w:r>
          </w:p>
        </w:tc>
        <w:tc>
          <w:tcPr>
            <w:tcBorders>
              <w:top w:val="single" w:color="000000" w:sz="1"/>
              <w:left w:val="single" w:color="000000" w:sz="1"/>
              <w:bottom w:val="single" w:color="000000" w:sz="1"/>
              <w:right w:val="single" w:color="000000" w:sz="1"/>
            </w:tcBorders>
          </w:tcPr>
          <w:p>
            <w:r>
              <w:t xml:space="preserve">0.8173</w:t>
            </w:r>
          </w:p>
        </w:tc>
        <w:tc>
          <w:tcPr>
            <w:tcBorders>
              <w:top w:val="single" w:color="000000" w:sz="1"/>
              <w:left w:val="single" w:color="000000" w:sz="1"/>
              <w:bottom w:val="single" w:color="000000" w:sz="1"/>
              <w:right w:val="single" w:color="000000" w:sz="1"/>
            </w:tcBorders>
          </w:tcPr>
          <w:p>
            <w:r>
              <w:t xml:space="preserve">0.6706</w:t>
            </w:r>
          </w:p>
        </w:tc>
      </w:tr>
      <w:tr>
        <w:tc>
          <w:tcPr>
            <w:tcBorders>
              <w:top w:val="single" w:color="000000" w:sz="1"/>
              <w:left w:val="single" w:color="000000" w:sz="1"/>
              <w:bottom w:val="single" w:color="000000" w:sz="1"/>
              <w:right w:val="single" w:color="000000" w:sz="1"/>
            </w:tcBorders>
          </w:tcPr>
          <w:p>
            <w:r>
              <w:t xml:space="preserve">BattleNet (Proposed)</w:t>
            </w:r>
          </w:p>
        </w:tc>
        <w:tc>
          <w:tcPr>
            <w:tcBorders>
              <w:top w:val="single" w:color="000000" w:sz="1"/>
              <w:left w:val="single" w:color="000000" w:sz="1"/>
              <w:bottom w:val="single" w:color="000000" w:sz="1"/>
              <w:right w:val="single" w:color="000000" w:sz="1"/>
            </w:tcBorders>
          </w:tcPr>
          <w:p>
            <w:r>
              <w:t xml:space="preserve">0.7846</w:t>
            </w:r>
          </w:p>
        </w:tc>
        <w:tc>
          <w:tcPr>
            <w:tcBorders>
              <w:top w:val="single" w:color="000000" w:sz="1"/>
              <w:left w:val="single" w:color="000000" w:sz="1"/>
              <w:bottom w:val="single" w:color="000000" w:sz="1"/>
              <w:right w:val="single" w:color="000000" w:sz="1"/>
            </w:tcBorders>
          </w:tcPr>
          <w:p>
            <w:r>
              <w:t xml:space="preserve">0.8063</w:t>
            </w:r>
          </w:p>
        </w:tc>
        <w:tc>
          <w:tcPr>
            <w:tcBorders>
              <w:top w:val="single" w:color="000000" w:sz="1"/>
              <w:left w:val="single" w:color="000000" w:sz="1"/>
              <w:bottom w:val="single" w:color="000000" w:sz="1"/>
              <w:right w:val="single" w:color="000000" w:sz="1"/>
            </w:tcBorders>
          </w:tcPr>
          <w:p>
            <w:r>
              <w:t xml:space="preserve">0.6176</w:t>
            </w:r>
          </w:p>
        </w:tc>
      </w:tr>
    </w:tbl>
    <w:p>
      <w:pPr>
        <w:spacing w:after="240" w:before="60" w:line="240"/>
        <w:jc w:val="center"/>
      </w:pPr>
      <w:r>
        <w:t xml:space="preserve">TABLE I. OVERALL PERFORMANCE ON KIIT-MITA DATASET</w:t>
      </w:r>
    </w:p>
    <w:p>
      <w:pPr>
        <w:spacing w:after="240" w:line="240"/>
        <w:jc w:val="both"/>
      </w:pPr>
      <w:r>
        <w:t xml:space="preserve">Notably, BattleNet's Macro F1 (0.8063) exceeds all baselines except Swin-T, indicating superior performance on minority classes. This is critical in military applications where rare but important objects (Missiles, Soldiers) must be reliably detected.</w:t>
      </w:r>
    </w:p>
    <w:p>
      <w:pPr>
        <w:spacing w:after="60" w:before="60" w:line="240"/>
      </w:pPr>
      <w:r>
        <w:rPr>
          <w:rFonts w:ascii="Times New Roman" w:cs="Times New Roman" w:eastAsia="Times New Roman" w:hAnsi="Times New Roman"/>
          <w:b/>
          <w:bCs/>
          <w:sz w:val="20"/>
          <w:szCs w:val="20"/>
        </w:rPr>
        <w:t xml:space="preserve">B. Per-Class Analysis</w:t>
      </w:r>
    </w:p>
    <w:p>
      <w:pPr>
        <w:spacing w:after="120" w:line="240"/>
        <w:jc w:val="both"/>
      </w:pPr>
      <w:r>
        <w:t xml:space="preserve">Table II provides per-class metrics for BattleNet: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6"/>
              <w:left w:val="single" w:color="000000" w:sz="6"/>
              <w:bottom w:val="single" w:color="000000" w:sz="6"/>
              <w:right w:val="single" w:color="000000" w:sz="6"/>
            </w:tcBorders>
            <w:shd w:fill="E8E8E8"/>
          </w:tcPr>
          <w:p>
            <w:r>
              <w:t xml:space="preserve">Class</w:t>
            </w:r>
          </w:p>
        </w:tc>
        <w:tc>
          <w:tcPr>
            <w:tcBorders>
              <w:top w:val="single" w:color="000000" w:sz="6"/>
              <w:left w:val="single" w:color="000000" w:sz="6"/>
              <w:bottom w:val="single" w:color="000000" w:sz="6"/>
              <w:right w:val="single" w:color="000000" w:sz="6"/>
            </w:tcBorders>
            <w:shd w:fill="E8E8E8"/>
          </w:tcPr>
          <w:p>
            <w:r>
              <w:t xml:space="preserve">Precision</w:t>
            </w:r>
          </w:p>
        </w:tc>
        <w:tc>
          <w:tcPr>
            <w:tcBorders>
              <w:top w:val="single" w:color="000000" w:sz="6"/>
              <w:left w:val="single" w:color="000000" w:sz="6"/>
              <w:bottom w:val="single" w:color="000000" w:sz="6"/>
              <w:right w:val="single" w:color="000000" w:sz="6"/>
            </w:tcBorders>
            <w:shd w:fill="E8E8E8"/>
          </w:tcPr>
          <w:p>
            <w:r>
              <w:t xml:space="preserve">Recall</w:t>
            </w:r>
          </w:p>
        </w:tc>
        <w:tc>
          <w:tcPr>
            <w:tcBorders>
              <w:top w:val="single" w:color="000000" w:sz="6"/>
              <w:left w:val="single" w:color="000000" w:sz="6"/>
              <w:bottom w:val="single" w:color="000000" w:sz="6"/>
              <w:right w:val="single" w:color="000000" w:sz="6"/>
            </w:tcBorders>
            <w:shd w:fill="E8E8E8"/>
          </w:tcPr>
          <w:p>
            <w:r>
              <w:t xml:space="preserve">F1 Score</w:t>
            </w:r>
          </w:p>
        </w:tc>
      </w:tr>
      <w:tr>
        <w:tc>
          <w:tcPr>
            <w:tcBorders>
              <w:top w:val="single" w:color="000000" w:sz="1"/>
              <w:left w:val="single" w:color="000000" w:sz="1"/>
              <w:bottom w:val="single" w:color="000000" w:sz="1"/>
              <w:right w:val="single" w:color="000000" w:sz="1"/>
            </w:tcBorders>
          </w:tcPr>
          <w:p>
            <w:r>
              <w:t xml:space="preserve">Radar</w:t>
            </w:r>
          </w:p>
        </w:tc>
        <w:tc>
          <w:tcPr>
            <w:tcBorders>
              <w:top w:val="single" w:color="000000" w:sz="1"/>
              <w:left w:val="single" w:color="000000" w:sz="1"/>
              <w:bottom w:val="single" w:color="000000" w:sz="1"/>
              <w:right w:val="single" w:color="000000" w:sz="1"/>
            </w:tcBorders>
          </w:tcPr>
          <w:p>
            <w:r>
              <w:t xml:space="preserve">1.0000</w:t>
            </w:r>
          </w:p>
        </w:tc>
        <w:tc>
          <w:tcPr>
            <w:tcBorders>
              <w:top w:val="single" w:color="000000" w:sz="1"/>
              <w:left w:val="single" w:color="000000" w:sz="1"/>
              <w:bottom w:val="single" w:color="000000" w:sz="1"/>
              <w:right w:val="single" w:color="000000" w:sz="1"/>
            </w:tcBorders>
          </w:tcPr>
          <w:p>
            <w:r>
              <w:t xml:space="preserve">0.8889</w:t>
            </w:r>
          </w:p>
        </w:tc>
        <w:tc>
          <w:tcPr>
            <w:tcBorders>
              <w:top w:val="single" w:color="000000" w:sz="1"/>
              <w:left w:val="single" w:color="000000" w:sz="1"/>
              <w:bottom w:val="single" w:color="000000" w:sz="1"/>
              <w:right w:val="single" w:color="000000" w:sz="1"/>
            </w:tcBorders>
          </w:tcPr>
          <w:p>
            <w:r>
              <w:t xml:space="preserve">0.9412</w:t>
            </w:r>
          </w:p>
        </w:tc>
      </w:tr>
      <w:tr>
        <w:tc>
          <w:tcPr>
            <w:tcBorders>
              <w:top w:val="single" w:color="000000" w:sz="1"/>
              <w:left w:val="single" w:color="000000" w:sz="1"/>
              <w:bottom w:val="single" w:color="000000" w:sz="1"/>
              <w:right w:val="single" w:color="000000" w:sz="1"/>
            </w:tcBorders>
          </w:tcPr>
          <w:p>
            <w:r>
              <w:t xml:space="preserve">Artillery</w:t>
            </w:r>
          </w:p>
        </w:tc>
        <w:tc>
          <w:tcPr>
            <w:tcBorders>
              <w:top w:val="single" w:color="000000" w:sz="1"/>
              <w:left w:val="single" w:color="000000" w:sz="1"/>
              <w:bottom w:val="single" w:color="000000" w:sz="1"/>
              <w:right w:val="single" w:color="000000" w:sz="1"/>
            </w:tcBorders>
          </w:tcPr>
          <w:p>
            <w:r>
              <w:t xml:space="preserve">0.9000</w:t>
            </w:r>
          </w:p>
        </w:tc>
        <w:tc>
          <w:tcPr>
            <w:tcBorders>
              <w:top w:val="single" w:color="000000" w:sz="1"/>
              <w:left w:val="single" w:color="000000" w:sz="1"/>
              <w:bottom w:val="single" w:color="000000" w:sz="1"/>
              <w:right w:val="single" w:color="000000" w:sz="1"/>
            </w:tcBorders>
          </w:tcPr>
          <w:p>
            <w:r>
              <w:t xml:space="preserve">0.9000</w:t>
            </w:r>
          </w:p>
        </w:tc>
        <w:tc>
          <w:tcPr>
            <w:tcBorders>
              <w:top w:val="single" w:color="000000" w:sz="1"/>
              <w:left w:val="single" w:color="000000" w:sz="1"/>
              <w:bottom w:val="single" w:color="000000" w:sz="1"/>
              <w:right w:val="single" w:color="000000" w:sz="1"/>
            </w:tcBorders>
          </w:tcPr>
          <w:p>
            <w:r>
              <w:t xml:space="preserve">0.9000</w:t>
            </w:r>
          </w:p>
        </w:tc>
      </w:tr>
      <w:tr>
        <w:tc>
          <w:tcPr>
            <w:tcBorders>
              <w:top w:val="single" w:color="000000" w:sz="1"/>
              <w:left w:val="single" w:color="000000" w:sz="1"/>
              <w:bottom w:val="single" w:color="000000" w:sz="1"/>
              <w:right w:val="single" w:color="000000" w:sz="1"/>
            </w:tcBorders>
          </w:tcPr>
          <w:p>
            <w:r>
              <w:t xml:space="preserve">M.Rocket</w:t>
            </w:r>
          </w:p>
        </w:tc>
        <w:tc>
          <w:tcPr>
            <w:tcBorders>
              <w:top w:val="single" w:color="000000" w:sz="1"/>
              <w:left w:val="single" w:color="000000" w:sz="1"/>
              <w:bottom w:val="single" w:color="000000" w:sz="1"/>
              <w:right w:val="single" w:color="000000" w:sz="1"/>
            </w:tcBorders>
          </w:tcPr>
          <w:p>
            <w:r>
              <w:t xml:space="preserve">0.8889</w:t>
            </w:r>
          </w:p>
        </w:tc>
        <w:tc>
          <w:tcPr>
            <w:tcBorders>
              <w:top w:val="single" w:color="000000" w:sz="1"/>
              <w:left w:val="single" w:color="000000" w:sz="1"/>
              <w:bottom w:val="single" w:color="000000" w:sz="1"/>
              <w:right w:val="single" w:color="000000" w:sz="1"/>
            </w:tcBorders>
          </w:tcPr>
          <w:p>
            <w:r>
              <w:t xml:space="preserve">0.8889</w:t>
            </w:r>
          </w:p>
        </w:tc>
        <w:tc>
          <w:tcPr>
            <w:tcBorders>
              <w:top w:val="single" w:color="000000" w:sz="1"/>
              <w:left w:val="single" w:color="000000" w:sz="1"/>
              <w:bottom w:val="single" w:color="000000" w:sz="1"/>
              <w:right w:val="single" w:color="000000" w:sz="1"/>
            </w:tcBorders>
          </w:tcPr>
          <w:p>
            <w:r>
              <w:t xml:space="preserve">0.8889</w:t>
            </w:r>
          </w:p>
        </w:tc>
      </w:tr>
      <w:tr>
        <w:tc>
          <w:tcPr>
            <w:tcBorders>
              <w:top w:val="single" w:color="000000" w:sz="1"/>
              <w:left w:val="single" w:color="000000" w:sz="1"/>
              <w:bottom w:val="single" w:color="000000" w:sz="1"/>
              <w:right w:val="single" w:color="000000" w:sz="1"/>
            </w:tcBorders>
          </w:tcPr>
          <w:p>
            <w:r>
              <w:t xml:space="preserve">Missile</w:t>
            </w:r>
          </w:p>
        </w:tc>
        <w:tc>
          <w:tcPr>
            <w:tcBorders>
              <w:top w:val="single" w:color="000000" w:sz="1"/>
              <w:left w:val="single" w:color="000000" w:sz="1"/>
              <w:bottom w:val="single" w:color="000000" w:sz="1"/>
              <w:right w:val="single" w:color="000000" w:sz="1"/>
            </w:tcBorders>
          </w:tcPr>
          <w:p>
            <w:r>
              <w:t xml:space="preserve">0.7778</w:t>
            </w:r>
          </w:p>
        </w:tc>
        <w:tc>
          <w:tcPr>
            <w:tcBorders>
              <w:top w:val="single" w:color="000000" w:sz="1"/>
              <w:left w:val="single" w:color="000000" w:sz="1"/>
              <w:bottom w:val="single" w:color="000000" w:sz="1"/>
              <w:right w:val="single" w:color="000000" w:sz="1"/>
            </w:tcBorders>
          </w:tcPr>
          <w:p>
            <w:r>
              <w:t xml:space="preserve">0.7778</w:t>
            </w:r>
          </w:p>
        </w:tc>
        <w:tc>
          <w:tcPr>
            <w:tcBorders>
              <w:top w:val="single" w:color="000000" w:sz="1"/>
              <w:left w:val="single" w:color="000000" w:sz="1"/>
              <w:bottom w:val="single" w:color="000000" w:sz="1"/>
              <w:right w:val="single" w:color="000000" w:sz="1"/>
            </w:tcBorders>
          </w:tcPr>
          <w:p>
            <w:r>
              <w:t xml:space="preserve">0.7778</w:t>
            </w:r>
          </w:p>
        </w:tc>
      </w:tr>
      <w:tr>
        <w:tc>
          <w:tcPr>
            <w:tcBorders>
              <w:top w:val="single" w:color="000000" w:sz="1"/>
              <w:left w:val="single" w:color="000000" w:sz="1"/>
              <w:bottom w:val="single" w:color="000000" w:sz="1"/>
              <w:right w:val="single" w:color="000000" w:sz="1"/>
            </w:tcBorders>
          </w:tcPr>
          <w:p>
            <w:r>
              <w:t xml:space="preserve">Tank</w:t>
            </w:r>
          </w:p>
        </w:tc>
        <w:tc>
          <w:tcPr>
            <w:tcBorders>
              <w:top w:val="single" w:color="000000" w:sz="1"/>
              <w:left w:val="single" w:color="000000" w:sz="1"/>
              <w:bottom w:val="single" w:color="000000" w:sz="1"/>
              <w:right w:val="single" w:color="000000" w:sz="1"/>
            </w:tcBorders>
          </w:tcPr>
          <w:p>
            <w:r>
              <w:t xml:space="preserve">0.7632</w:t>
            </w:r>
          </w:p>
        </w:tc>
        <w:tc>
          <w:tcPr>
            <w:tcBorders>
              <w:top w:val="single" w:color="000000" w:sz="1"/>
              <w:left w:val="single" w:color="000000" w:sz="1"/>
              <w:bottom w:val="single" w:color="000000" w:sz="1"/>
              <w:right w:val="single" w:color="000000" w:sz="1"/>
            </w:tcBorders>
          </w:tcPr>
          <w:p>
            <w:r>
              <w:t xml:space="preserve">0.7632</w:t>
            </w:r>
          </w:p>
        </w:tc>
        <w:tc>
          <w:tcPr>
            <w:tcBorders>
              <w:top w:val="single" w:color="000000" w:sz="1"/>
              <w:left w:val="single" w:color="000000" w:sz="1"/>
              <w:bottom w:val="single" w:color="000000" w:sz="1"/>
              <w:right w:val="single" w:color="000000" w:sz="1"/>
            </w:tcBorders>
          </w:tcPr>
          <w:p>
            <w:r>
              <w:t xml:space="preserve">0.7632</w:t>
            </w:r>
          </w:p>
        </w:tc>
      </w:tr>
      <w:tr>
        <w:tc>
          <w:tcPr>
            <w:tcBorders>
              <w:top w:val="single" w:color="000000" w:sz="1"/>
              <w:left w:val="single" w:color="000000" w:sz="1"/>
              <w:bottom w:val="single" w:color="000000" w:sz="1"/>
              <w:right w:val="single" w:color="000000" w:sz="1"/>
            </w:tcBorders>
          </w:tcPr>
          <w:p>
            <w:r>
              <w:t xml:space="preserve">Vehicle</w:t>
            </w:r>
          </w:p>
        </w:tc>
        <w:tc>
          <w:tcPr>
            <w:tcBorders>
              <w:top w:val="single" w:color="000000" w:sz="1"/>
              <w:left w:val="single" w:color="000000" w:sz="1"/>
              <w:bottom w:val="single" w:color="000000" w:sz="1"/>
              <w:right w:val="single" w:color="000000" w:sz="1"/>
            </w:tcBorders>
          </w:tcPr>
          <w:p>
            <w:r>
              <w:t xml:space="preserve">0.6882</w:t>
            </w:r>
          </w:p>
        </w:tc>
        <w:tc>
          <w:tcPr>
            <w:tcBorders>
              <w:top w:val="single" w:color="000000" w:sz="1"/>
              <w:left w:val="single" w:color="000000" w:sz="1"/>
              <w:bottom w:val="single" w:color="000000" w:sz="1"/>
              <w:right w:val="single" w:color="000000" w:sz="1"/>
            </w:tcBorders>
          </w:tcPr>
          <w:p>
            <w:r>
              <w:t xml:space="preserve">0.6882</w:t>
            </w:r>
          </w:p>
        </w:tc>
        <w:tc>
          <w:tcPr>
            <w:tcBorders>
              <w:top w:val="single" w:color="000000" w:sz="1"/>
              <w:left w:val="single" w:color="000000" w:sz="1"/>
              <w:bottom w:val="single" w:color="000000" w:sz="1"/>
              <w:right w:val="single" w:color="000000" w:sz="1"/>
            </w:tcBorders>
          </w:tcPr>
          <w:p>
            <w:r>
              <w:t xml:space="preserve">0.6882</w:t>
            </w:r>
          </w:p>
        </w:tc>
      </w:tr>
      <w:tr>
        <w:tc>
          <w:tcPr>
            <w:tcBorders>
              <w:top w:val="single" w:color="000000" w:sz="1"/>
              <w:left w:val="single" w:color="000000" w:sz="1"/>
              <w:bottom w:val="single" w:color="000000" w:sz="1"/>
              <w:right w:val="single" w:color="000000" w:sz="1"/>
            </w:tcBorders>
          </w:tcPr>
          <w:p>
            <w:r>
              <w:t xml:space="preserve">Soldier</w:t>
            </w:r>
          </w:p>
        </w:tc>
        <w:tc>
          <w:tcPr>
            <w:tcBorders>
              <w:top w:val="single" w:color="000000" w:sz="1"/>
              <w:left w:val="single" w:color="000000" w:sz="1"/>
              <w:bottom w:val="single" w:color="000000" w:sz="1"/>
              <w:right w:val="single" w:color="000000" w:sz="1"/>
            </w:tcBorders>
          </w:tcPr>
          <w:p>
            <w:r>
              <w:t xml:space="preserve">0.6849</w:t>
            </w:r>
          </w:p>
        </w:tc>
        <w:tc>
          <w:tcPr>
            <w:tcBorders>
              <w:top w:val="single" w:color="000000" w:sz="1"/>
              <w:left w:val="single" w:color="000000" w:sz="1"/>
              <w:bottom w:val="single" w:color="000000" w:sz="1"/>
              <w:right w:val="single" w:color="000000" w:sz="1"/>
            </w:tcBorders>
          </w:tcPr>
          <w:p>
            <w:r>
              <w:t xml:space="preserve">0.6849</w:t>
            </w:r>
          </w:p>
        </w:tc>
        <w:tc>
          <w:tcPr>
            <w:tcBorders>
              <w:top w:val="single" w:color="000000" w:sz="1"/>
              <w:left w:val="single" w:color="000000" w:sz="1"/>
              <w:bottom w:val="single" w:color="000000" w:sz="1"/>
              <w:right w:val="single" w:color="000000" w:sz="1"/>
            </w:tcBorders>
          </w:tcPr>
          <w:p>
            <w:r>
              <w:t xml:space="preserve">0.6849</w:t>
            </w:r>
          </w:p>
        </w:tc>
      </w:tr>
    </w:tbl>
    <w:p>
      <w:pPr>
        <w:spacing w:after="240" w:before="60" w:line="240"/>
        <w:jc w:val="center"/>
      </w:pPr>
      <w:r>
        <w:t xml:space="preserve">TABLE II. BATTLENET PER-CLASS PERFORMANCE</w:t>
      </w:r>
    </w:p>
    <w:p>
      <w:pPr>
        <w:spacing w:after="120" w:line="240"/>
        <w:jc w:val="both"/>
      </w:pPr>
      <w:r>
        <w:t xml:space="preserve">BattleNet achieves perfect precision (1.0) on Radar detection—a critical achievement no baseline model reaches. This means zero false positives on radar systems, highly desirable in military applications. Artillery F1 of 0.90 ranks among the highest, while Vehicle and Soldier F1 scores reflect the inherent difficulty of distinguishing visually similar objects in military imagery.</w:t>
      </w:r>
    </w:p>
    <w:p>
      <w:pPr>
        <w:spacing w:after="60" w:before="60" w:line="24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w:pPr>
        <w:spacing w:after="240" w:line="240"/>
        <w:jc w:val="center"/>
      </w:pPr>
      <w:r>
        <w:t xml:space="preserve">Fig. 3. Per-class F1 comparison: BattleNet achieves perfect precision on Radar.</w:t>
      </w:r>
    </w:p>
    <w:p>
      <w:pPr>
        <w:spacing w:after="60" w:before="60" w:line="240"/>
      </w:pPr>
      <w:r>
        <w:rPr>
          <w:rFonts w:ascii="Times New Roman" w:cs="Times New Roman" w:eastAsia="Times New Roman" w:hAnsi="Times New Roman"/>
          <w:b/>
          <w:bCs/>
          <w:sz w:val="20"/>
          <w:szCs w:val="20"/>
        </w:rPr>
        <w:t xml:space="preserve">C. Training Dynamics</w:t>
      </w:r>
    </w:p>
    <w:p>
      <w:pPr>
        <w:spacing w:after="120" w:line="240"/>
        <w:jc w:val="both"/>
      </w:pPr>
      <w:r>
        <w:t xml:space="preserve">Figure 4 shows BattleNet's training curves across 30 epochs. Peak validation F1 reaches 0.8075 at epoch 13, demonstrating efficient convergence. Slight overfitting after epoch 13 is typical and controlled through early stopping. The two-phase training strategy (phase transition at epoch 10) clearly improves optimization trajectory.</w:t>
      </w:r>
    </w:p>
    <w:p>
      <w:pPr>
        <w:spacing w:after="60" w:before="60" w:line="24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67000"/>
                    </a:xfrm>
                    <a:prstGeom prst="rect">
                      <a:avLst/>
                    </a:prstGeom>
                  </pic:spPr>
                </pic:pic>
              </a:graphicData>
            </a:graphic>
          </wp:inline>
        </w:drawing>
      </w:r>
    </w:p>
    <w:p>
      <w:pPr>
        <w:spacing w:after="240" w:line="240"/>
        <w:jc w:val="center"/>
      </w:pPr>
      <w:r>
        <w:t xml:space="preserve">Fig. 4. BattleNet training curves showing convergence to F1=0.8075 at epoch 13.</w:t>
      </w:r>
    </w:p>
    <w:p>
      <w:pPr>
        <w:spacing w:after="60" w:before="60" w:line="240"/>
      </w:pPr>
      <w:r>
        <w:rPr>
          <w:rFonts w:ascii="Times New Roman" w:cs="Times New Roman" w:eastAsia="Times New Roman" w:hAnsi="Times New Roman"/>
          <w:b/>
          <w:bCs/>
          <w:sz w:val="20"/>
          <w:szCs w:val="20"/>
        </w:rPr>
        <w:t xml:space="preserve">D. Macro vs. Micro F1 Analysis</w:t>
      </w:r>
    </w:p>
    <w:p>
      <w:pPr>
        <w:spacing w:after="120" w:line="240"/>
        <w:jc w:val="both"/>
      </w:pPr>
      <w:r>
        <w:t xml:space="preserve">BattleNet achieves Macro F1 of 0.8063 versus Micro F1 of 0.7846, a 2.17% gap. This gap indicates that BattleNet provides more balanced performance across classes, particularly benefiting minority classes. The fusion of CNN and Transformer features appears to benefit minority class detection through the label co-occurrence module, which explicitly models class dependencies.</w:t>
      </w:r>
    </w:p>
    <w:p>
      <w:pPr>
        <w:spacing w:after="60" w:before="60" w:line="24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57500"/>
                    </a:xfrm>
                    <a:prstGeom prst="rect">
                      <a:avLst/>
                    </a:prstGeom>
                  </pic:spPr>
                </pic:pic>
              </a:graphicData>
            </a:graphic>
          </wp:inline>
        </w:drawing>
      </w:r>
    </w:p>
    <w:p>
      <w:pPr>
        <w:spacing w:after="240" w:line="240"/>
        <w:jc w:val="center"/>
      </w:pPr>
      <w:r>
        <w:t xml:space="preserve">Fig. 5. Per-class performance heatmap showing balanced detection across military object categories.</w:t>
      </w:r>
    </w:p>
    <w:p>
      <w:pPr>
        <w:spacing w:after="60" w:before="60" w:line="240"/>
      </w:pPr>
      <w:r>
        <w:rPr>
          <w:rFonts w:ascii="Times New Roman" w:cs="Times New Roman" w:eastAsia="Times New Roman" w:hAnsi="Times New Roman"/>
          <w:b/>
          <w:bCs/>
          <w:sz w:val="20"/>
          <w:szCs w:val="20"/>
        </w:rPr>
        <w:t xml:space="preserve">E. Computational Cost Analysis</w:t>
      </w:r>
    </w:p>
    <w:p>
      <w:pPr>
        <w:spacing w:after="240" w:line="240"/>
        <w:jc w:val="both"/>
      </w:pPr>
      <w:r>
        <w:t xml:space="preserve">BattleNet combines two large pretrained models (EfficientNet-V2-S: 21.2M params, Swin-T: 28.3M params) with fusion and co-occurrence modules, totaling approximately 50M parameters. Training on CPU required 428 minutes for 30 epochs. This computational cost is justified by the architectural benefits: richer feature representations, perfect Radar precision, and competitive Macro F1 performance. GPU acceleration would reduce training time substantially.</w:t>
      </w:r>
    </w:p>
    <w:p>
      <w:pPr>
        <w:spacing w:after="120" w:before="120" w:line="240"/>
        <w:jc w:val="center"/>
      </w:pPr>
      <w:r>
        <w:t xml:space="preserve">VI. CONCLUSION</w:t>
      </w:r>
    </w:p>
    <w:p>
      <w:pPr>
        <w:spacing w:after="120" w:line="240"/>
        <w:jc w:val="both"/>
      </w:pPr>
      <w:r>
        <w:t xml:space="preserve">This paper presents BattleNet, a dual-backbone hybrid fusion architecture specifically designed for multi-label military object classification. Through strategic combination of CNN and Transformer backbones via bilinear interaction fusion, BattleNet achieves competitive performance with single-backbone baselines while demonstrating advantages in balanced multi-class performance and perfect precision on critical Radar detection.</w:t>
      </w:r>
    </w:p>
    <w:p>
      <w:pPr>
        <w:spacing w:after="120" w:line="240"/>
        <w:jc w:val="both"/>
      </w:pPr>
      <w:r>
        <w:t xml:space="preserve">Key contributions include: (1) a novel fusion architecture that captures complementary CNN-Transformer features, (2) perfect precision (1.0) on Radar class detection, (3) competitive Macro F1 (0.8063, only 1.4% below best baseline), and (4) comprehensive evaluation across 12 architectures using default configurations for fair comparison.</w:t>
      </w:r>
    </w:p>
    <w:p>
      <w:pPr>
        <w:spacing w:after="240" w:line="240"/>
        <w:jc w:val="both"/>
      </w:pPr>
      <w:r>
        <w:t xml:space="preserve">Future work will explore: (1) hyperparameter optimization to close the remaining gap with Swin-T baseline, (2) attention-based fusion mechanisms for learnable feature weighting, (3) evaluation on larger military image datasets, and (4) model compression techniques for real-time deployment in resource-constrained military systems.</w:t>
      </w:r>
    </w:p>
    <w:p>
      <w:pPr>
        <w:spacing w:after="120" w:before="120" w:line="240"/>
        <w:jc w:val="center"/>
      </w:pPr>
      <w:r>
        <w:t xml:space="preserve">REFERENCES</w:t>
      </w:r>
    </w:p>
    <w:p>
      <w:pPr>
        <w:spacing w:after="60" w:line="240"/>
      </w:pPr>
      <w:r>
        <w:t xml:space="preserve">[1] A. Dosovitskiy et al., "An image is worth 16x16 words: Transformers for image recognition at scale," in Proc. ICLR, 2021.</w:t>
      </w:r>
    </w:p>
    <w:p>
      <w:pPr>
        <w:spacing w:after="60" w:line="240"/>
      </w:pPr>
      <w:r>
        <w:t xml:space="preserve">[2] Z. Liu et al., "Swin transformer: Hierarchical vision transformer using shifted windows," in Proc. ICCV, 2021.</w:t>
      </w:r>
    </w:p>
    <w:p>
      <w:pPr>
        <w:spacing w:after="60" w:line="240"/>
      </w:pPr>
      <w:r>
        <w:t xml:space="preserve">[3] M. Tan and Q. Le, "EfficientNet: Rethinking model scaling for convolutional neural networks," in Proc. ICML, 2019.</w:t>
      </w:r>
    </w:p>
    <w:p>
      <w:pPr>
        <w:spacing w:after="60" w:line="240"/>
      </w:pPr>
      <w:r>
        <w:t xml:space="preserve">[4] M. Tan and Q. Le, "EfficientNetV2: Smaller models and faster training," in Proc. ICML, 2021.</w:t>
      </w:r>
    </w:p>
    <w:p>
      <w:pPr>
        <w:spacing w:after="60" w:line="240"/>
      </w:pPr>
      <w:r>
        <w:t xml:space="preserve">[5] K. He et al., "Deep residual learning for image recognition," in Proc. CVPR, 2016.</w:t>
      </w:r>
    </w:p>
    <w:p>
      <w:pPr>
        <w:spacing w:after="60" w:line="240"/>
      </w:pPr>
      <w:r>
        <w:t xml:space="preserve">[6] J. Hu et al., "Squeeze-and-excitation networks," in Proc. CVPR, 2018.</w:t>
      </w:r>
    </w:p>
    <w:p>
      <w:pPr>
        <w:spacing w:after="60" w:line="240"/>
      </w:pPr>
      <w:r>
        <w:t xml:space="preserve">[7] T.-Y. Lin et al., "Focal loss for dense object detection," in Proc. ICCV, 2017.</w:t>
      </w:r>
    </w:p>
    <w:p>
      <w:pPr>
        <w:spacing w:after="60" w:line="240"/>
      </w:pPr>
      <w:r>
        <w:t xml:space="preserve">[8] Z. Liu et al., "A ConvNet for the 2020s," in Proc. CVPR, 2022.</w:t>
      </w:r>
    </w:p>
    <w:p>
      <w:pPr>
        <w:spacing w:after="60" w:line="240"/>
      </w:pPr>
      <w:r>
        <w:t xml:space="preserve">[9] G. Huang et al., "Densely connected convolutional networks," in Proc. CVPR, 2017.</w:t>
      </w:r>
    </w:p>
    <w:p>
      <w:pPr>
        <w:spacing w:after="60" w:line="240"/>
      </w:pPr>
      <w:r>
        <w:t xml:space="preserve">[10] I. Loshchilov and F. Hutter, "Decoupled weight decay regularization," in Proc. ICLR, 2019.</w:t>
      </w:r>
    </w:p>
    <w:p>
      <w:pPr>
        <w:spacing w:after="60" w:line="240"/>
      </w:pPr>
      <w:r>
        <w:t xml:space="preserve">[11] K. Simonyan and A. Zisserman, "Very deep convolutional networks for large-scale image recognition," in Proc. ICLR, 2015.</w:t>
      </w:r>
    </w:p>
    <w:p>
      <w:pPr>
        <w:spacing w:after="60" w:line="240"/>
      </w:pPr>
      <w:r>
        <w:t xml:space="preserve">[12] M. Sandler et al., "MobileNetV2: Inverted residuals and linear bottlenecks," in Proc. CVPR, 2018.</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4c3356febed7c9fc1f174bd85ad5c92588a115.undefined"/><Relationship Id="rId8" Type="http://schemas.openxmlformats.org/officeDocument/2006/relationships/image" Target="media/3ed220397b0dfaa3eb38a7a80ec467d00f697c3b.undefined"/><Relationship Id="rId9" Type="http://schemas.openxmlformats.org/officeDocument/2006/relationships/image" Target="media/8bd9e9f1554ed356802910498f6a013cdc41f3fd.undefined"/><Relationship Id="rId10" Type="http://schemas.openxmlformats.org/officeDocument/2006/relationships/image" Target="media/6fe916462ee93cee18367de6cd2710f78fe136ea.undefined"/><Relationship Id="rId11" Type="http://schemas.openxmlformats.org/officeDocument/2006/relationships/image" Target="media/fdbcf22fc8e05f74ff3765787ce1c759f88fb0ab.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2026-03-13T06:44:16.540Z</dcterms:created>
  <dcterms:modified xsi:type="dcterms:W3CDTF">2026-03-13T06:44:16.540Z</dcterms:modified>
</cp:coreProperties>
</file>

<file path=docProps/custom.xml><?xml version="1.0" encoding="utf-8"?>
<Properties xmlns="http://schemas.openxmlformats.org/officeDocument/2006/custom-properties" xmlns:vt="http://schemas.openxmlformats.org/officeDocument/2006/docPropsVTypes"/>
</file>