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Multi-Label Image Classification on KIIT-MiTA Dataset: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 Comprehensive Study of Deep Learning Architectures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2E75B6"/>
          <w:sz w:val="32"/>
          <w:szCs w:val="32"/>
        </w:rPr>
        <w:t xml:space="preserve">with a Novel Hybrid Fusion Model (BattleNet)</w:t>
      </w:r>
    </w:p>
    <w:p>
      <w:pPr>
        <w:spacing w:after="600"/>
      </w:pP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Deep Learning Assignment</w:t>
      </w:r>
    </w:p>
    <w:p>
      <w:pPr>
        <w:spacing w:after="400"/>
      </w:pP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Abu Bakar Siddik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March 2026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Abstract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Multi-label image classification presents unique challenges compared to traditional single-label classification, as images may contain multiple objects simultaneously. This study presents a comprehensive evaluation of 12 deep learning architectures for multi-label classification on the KIIT-MiTA military image dataset across seven classes: Artillery, Missile, Radar, M. Rocket Launcher, Soldier, Tank, and Vehicle. We systematically evaluate architectures spanning four paradigms: Classic CNNs (VGG16), Modern CNNs (ResNet, DenseNet, MobileNet, EfficientNet, ConvNeXt), Vision Transformers (ViT, Swin), and a novel hybrid fusion model (BattleNet). Through 40+ experiments across seven optimization phases, we demonstrate that Swin-Tiny with weight decay 1e-3 achieves the best Micro F1 of 0.8326, while our proposed BattleNet dual-backbone hybrid fusion model achieves competitive performance (Micro F1: 0.7846, Macro F1: 0.8063) with perfect precision on the Radar class. We present detailed analysis of regularization strategies, augmentation effects, training dynamics, and class imbalance handling.</w:t>
      </w:r>
    </w:p>
    <w:p>
      <w:pPr>
        <w:spacing w:after="120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Keywords: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Multi-label Classification, Deep Learning, Vision Transformers, CNN, Hybrid Fusion, BattleNet, KIIT-MiTA, Transfer Learning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1. Model Selection &amp; Architecture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1.1 Problem Definition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KIIT-MiTA dataset presents a multi-label image classification problem involving military-themed images across seven classes. Unlike single-label classification where each image belongs to exactly one category, multi-label classification requires models to identify multiple objects present in the same image (e.g., a soldier near a tank, or a missile launcher on a vehicle). This co-occurrence pattern makes the task particularly challenging and representative of real-world multi-label scenarios.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1.2 Architecture Selection Rationale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selected 12 architectures spanning four architectural paradigms to provide a comprehensive evaluation: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Family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Classic CNN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VGG16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 deep CNN with 3x3 filters; establishes lower bound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ResNet-18/34/50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Residual connections enable deeper networks; skip connections address vanishing gradients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DenseNet-121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Dense connectivity promotes feature reuse and efficient gradient flow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MobileNetV2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Depthwise separable convolutions for lightweight inference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EfficientNet-B0/V2-S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Compound scaling optimizes depth/width/resolution jointly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ConvNeXt-Tiny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Modernized CNN with transformer-inspired design principles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Transformer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ViT-B/16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Pure vision transformer using 16x16 patch embeddings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Transformer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Swin-Tiny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Hierarchical transformer with shifted window self-attention</w:t>
            </w:r>
          </w:p>
        </w:tc>
      </w:tr>
      <w:tr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Hybrid Fusion</w:t>
            </w:r>
          </w:p>
        </w:tc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BattleNet (Proposed)</w:t>
            </w:r>
          </w:p>
        </w:tc>
        <w:tc>
          <w:tcPr>
            <w:tcW w:type="dxa" w:w="47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Dual-backbone CNN+Transformer with bilinear interaction fusion</w:t>
            </w:r>
          </w:p>
        </w:tc>
      </w:tr>
    </w:tbl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1: Architecture families and selection rationale.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1.3 Layer-wise Architecture Details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1.3.1 Swin-Tiny (Best Performing)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Swin Transformer (Liu et al., 2021) employs a hierarchical design with shifted windows for efficient self-attention. The architecture processes 224x224 input images through four stages: Stage 1 applies Patch Partition (4x4) and Linear Embedding producing 56x56 feature maps with C=96 channels. Stage 2 uses Patch Merging and 2 Swin Transformer Blocks (output 28x28, C=192). Stage 3 has 6 Swin Transformer Blocks (output 14x14, C=384). Stage 4 has 2 blocks (output 7x7, C=768). Each block contains Layer Normalization, Window Multi-Head Self-Attention (W-MSA, window size 7x7), residual connection, and a 2-layer MLP with GELU activation. Shifted Window MSA alternates with regular W-MSA to enable cross-window information flow. The classification head uses: Adaptive Average Pooling, Dropout (p=0.3), and Linear(768, 7) with Sigmoid activation.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1.3.2 BattleNet: Novel Dual-Backbone Hybrid Fusion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BattleNet is our proposed hybrid fusion architecture combining CNN local feature extraction with Transformer global context modeling. It has three main components: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Dual Backbone: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CNN branch (EfficientNet-V2-S) extracts local spatial features producing a 1280-dimensional vector. The Transformer branch (Swin-Tiny) captures global contextual relationships producing a 768-dimensional vector. Both are initialized with ImageNet-pretrained weights.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Bilinear Interaction Fusion: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Given CNN features c (1280-dim) and Transformer features t (768-dim), both are projected to a shared 512-dimensional space. The fusion computes three interaction terms: concatenation [c', t'] (complementary features), element-wise product c' * t' (multiplicative interactions), and element-wise difference |c' - t'| (discriminative divergence), forming a 1536-dimensional fused representation.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Squeeze-and-Excitation Recalibration: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SE block performs channel-wise recalibration: squeeze via global average pooling, excite through a two-layer MLP (1536 -&gt; 96 -&gt; 1536) with ReLU and Sigmoid, then scale the fused features channel-wise to adaptively weight fusion components.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Label Co-occurrence Refinement: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learnable 7x7 interaction matrix models label dependencies (e.g., Soldier frequently co-occurs with Tank). Initial logits are refined by this matrix to leverage inter-class correlations. The classifier MLP consists of: Linear(1536, 512), BatchNorm, ReLU, Dropout(0.3), Linear(512, 7), label co-occurrence matrix multiplication, and Sigmoid activation.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figure_13_battlenet_architecture.png" descr="Figure 1: BattleNet Dual-Backbone Hybrid Fusion Architecture" title="Figure 1: BattleNet Dual-Backbone Hybrid Fusion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1: BattleNet Dual-Backbone Hybrid Fusion Architecture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1.3.3 Other Architectures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ResNet (He et al., 2016) uses residual blocks with skip connections F(x) + x. We evaluate ResNet-18 (11.7M params), ResNet-34 (21.8M), and ResNet-50 (25.6M) with bottleneck blocks. EfficientNet (Tan &amp; Le, 2019) applies compound scaling to jointly optimize depth, width, and resolution. ConvNeXt (Liu et al., 2022) modernizes ResNet with larger 7x7 kernels, LayerNorm, and GELU activation. ViT-B/16 splits images into 16x16 patches processed through 12 Transformer encoder layers. All models use Sigmoid output for multi-label classification.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1.4 Output Formulation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multi-label classification, the output uses Sigmoid activation (not Softmax) producing independent probabilities for each class. A threshold of 0.5 is applied: y_hat_i = 1 if sigma(z_i) &gt;= 0.5, else 0. This allows simultaneous prediction of multiple classes.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2. Mathematical Explanation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2.1 Forward Pass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forward pass computes predictions from input images through learned transformations. For a CNN layer: h = sigma(W * X + b), where * denotes convolution, W are learnable filters, and sigma is the activation function (ReLU for CNNs, GELU for transformers).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Batch Normalization: BN(x) = gamma * (x - mu_B) / sqrt(sigma^2_B + epsilon) + beta, normalizing activations to stabilize training.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Residual Connection: H(x) = F(x) + x, enabling gradient flow through identity shortcuts.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Self-Attention: Attention(Q, K, V) = softmax(QK^T / sqrt(d_k)) * V, where Q, K, V are linear projections of the input.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 BattleNet: (1) Dual extraction: c = EfficientNet(X), t = Swin(X); (2) Projection to shared space; (3) Bilinear fusion: f = [c'; t'; c'*t'; |c'-t'|]; (4) SE recalibration: f' = f * sigmoid(W2 * ReLU(W1 * GAP(f))); (5) Classification with label co-occurrence refinement; (6) Sigmoid output.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2.2 Loss Function: Binary Cross-Entropy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BCE Loss for multi-label classification: L = -(1/N) * SUM_i SUM_j [y_ij * log(p_ij) + (1 - y_ij) * log(1 - p_ij)], where p_ij = sigmoid(z_ij). Numerically stable form: BCE(z, y) = max(z, 0) - z*y + log(1 + exp(-|z|)).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also tested Focal Loss: L_focal = -alpha * (1 - p_t)^gamma * log(p_t) with gamma=2.0, and Label Smoothing: y_smooth = y * (1 - epsilon) + epsilon/2 with epsilon=0.1.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2.3 Backpropagation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Backpropagation computes gradients via the chain rule: dL/dW_l = dL/dz_l * dz_l/dW_l. For residual blocks: dL/dx = dL/dH * (dF/dx + I), where the identity term I ensures gradients flow directly through skip connections. For self-attention, gradients flow through softmax attention weights, enabling the model to learn spatial attention patterns.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2.4 Optimizer: Adam Weight Update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Adam maintains exponential moving averages of gradient (m_t) and squared gradient (v_t): m_t = beta1 * m_{t-1} + (1-beta1) * g_t (beta1=0.9), v_t = beta2 * v_{t-1} + (1-beta2) * g_t^2 (beta2=0.999). Bias-corrected: m_hat = m_t/(1-beta1^t), v_hat = v_t/(1-beta2^t). Update: W = W - lr * m_hat / (sqrt(v_hat) + eps).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With L2 weight decay (lambda): W = W - lr * (m_hat/(sqrt(v_hat)+eps) + lambda*W). Our experiments show lambda=1e-3 yields the best results, improving Swin-T by +2.43% and EfficientNetV2-S by +1.58%.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3. Regularization &amp; Hyperparameter Tuning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Techniques Applied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Weight Decay (L2 Regularization):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Adds penalty lambda*||W||^2 to the loss. Tested lambda = 0 (baseline), 1e-4, and 1e-3. Weight decay 1e-3 emerged as the most impactful hyperparameter across all architectures.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Dropout (p=0.3):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Randomly zeroes neuron activations during training, preventing co-adaptation. Applied in classification heads of all architectures.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Augmentation: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Five strategies tested: Baseline (crop, flip, mild jitter, rotation), Light (crop, flip only), Strong (adding blur, perspective, erasing), Color (enhanced jitter), Aggressive (all combined). Baseline proved optimal for overall F1.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Label Smoothing (epsilon=0.1):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Replaces hard targets with soft targets. Decreased Swin-T performance by 1.29%, suggesting confident predictions benefit this dataset.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Learning Rate Scheduling: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Cosine annealing achieved best accuracy (0.6941). Step LR and OneCycle underperformed the baseline.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Regularization Impact on Swin-Tiny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600"/>
        <w:gridCol w:w="2960"/>
      </w:tblGrid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Micro F1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Change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Exact Match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WD 1e-3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0.8326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+2.43%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0.6706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Lower Finetune LR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0.8046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-0.37%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0.6412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AdamW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0.8037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-0.46%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0.6294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WD 1e-4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0.8000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-0.83%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0.6412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Label Smoothing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0.7954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-1.29%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0.6176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  <w:tc>
          <w:tcPr>
            <w:tcW w:type="dxa" w:w="2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0.6706</w:t>
            </w:r>
          </w:p>
        </w:tc>
      </w:tr>
    </w:tbl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2: Regularization impact on Swin-Tiny.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4_hyperparameter_tuning.png" descr="Figure 2: Hyperparameter Tuning Results" title="Figure 2: Hyperparameter Tuning Resul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2: Hyperparameter Tuning Results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3.3 Augmentation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Augmentation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Micro F1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Exact Match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Vehicle F1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Baseline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0.8326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0.6706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Color Jitter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0.8073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0.6882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0.75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Aggressive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0.8083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0.6471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0.73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0.8121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0.6529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0.74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Strong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0.7981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0.6353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Light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0.7739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0.6353</w:t>
            </w:r>
          </w:p>
        </w:tc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0.70</w:t>
            </w:r>
          </w:p>
        </w:tc>
      </w:tr>
    </w:tbl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3: Augmentation comparison (Swin-T + WD 1e-3).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7_augmentation_comparison.png" descr="Figure 3: Augmentation Strategy Comparison" title="Figure 3: Augmentation Strategy 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3: Augmentation Strategy Comparison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4. Performance Evaluation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4.1 Dataset Overview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KIIT-MiTA dataset: 1,530 images (1,360 train / 170 val / 170 test), 224x224 pixels, 7 multi-label classes with significant class imbalance.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figure_10_label_distribution.png" descr="Figure 4: Label Distribution in KIIT-MiTA Dataset" title="Figure 4: Label Distribution in KIIT-MiTA Data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4: Label Distribution in KIIT-MiTA Dataset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4.2 Overall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400"/>
        <w:gridCol w:w="1600"/>
        <w:gridCol w:w="1960"/>
      </w:tblGrid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Family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Micro F1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Exact Match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Swin-Tiny + WD 1e-3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Transformer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0.8326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0.6706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Best overall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EfficientNetV2-S + WD 1e-3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0.8084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0.6706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Best CNN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ConvNeXt-Tiny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0.7854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0.6235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Strong CNN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BattleNet (Proposed)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Hybrid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0.7846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0.6176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Novel model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DenseNet-121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0.7830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0.6412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Good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EfficientNet-B0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0.7653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0.5941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Lightweight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ResNet-50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0.7598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0.6118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Deep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ResNet-34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0.7583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0.5824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ViT-B/16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Transformer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0.7563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0.5882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Pure ViT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MobileNetV2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0.7286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0.5588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Efficient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ResNet-18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Modern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0.7189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0.5529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Shallow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VGG16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Classic CNN</w:t>
            </w:r>
          </w:p>
        </w:tc>
        <w:tc>
          <w:tcPr>
            <w:tcW w:type="dxa" w:w="1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0.7021</w:t>
            </w:r>
          </w:p>
        </w:tc>
        <w:tc>
          <w:tcPr>
            <w:tcW w:type="dxa" w:w="1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0.5118</w:t>
            </w:r>
          </w:p>
        </w:tc>
        <w:tc>
          <w:tcPr>
            <w:tcW w:type="dxa" w:w="19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</w:t>
            </w:r>
          </w:p>
        </w:tc>
      </w:tr>
    </w:tbl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4: Complete architecture comparison on KIIT-MiTA test set.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1_architecture_comparison.png" descr="Figure 5: Architecture Comparison - Micro F1 Across All 12 Models" title="Figure 5: Architecture Comparison - Micro F1 Across All 12 Mod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5: Architecture Comparison - Micro F1 Across All 12 Models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4.3 Training Curves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Training follows two phases: head training (epochs 1-10, backbone frozen) then fine-tuning (epochs 11-30, all parameters). A sharp improvement typically occurs at the phase transition.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3_training_curves.png" descr="Figure 6: Training Curves (Loss and Micro F1)" title="Figure 6: Training Curves (Loss and Micro F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6: Training Curves (Loss and Micro F1)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4.4 Per-Class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160"/>
        <w:gridCol w:w="2200"/>
      </w:tblGrid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Precision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F1 Score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Radar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1.000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0.889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0.941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Artillery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0.857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0.947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M. Rocket Launcher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0.923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0.857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0.889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Missile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0.724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0.840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0.778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Tank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0.744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0.784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0.763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Soldier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0.658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0.714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0.685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Vehicle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0.696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0.681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0.688</w:t>
            </w:r>
          </w:p>
        </w:tc>
      </w:tr>
    </w:tbl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5: BattleNet per-class performance.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2_per_class_performance.png" descr="Figure 7: Per-Class F1 Scores Across All Architectures" title="Figure 7: Per-Class F1 Scores Across All Architectu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7: Per-Class F1 Scores Across All Architectures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3810000"/>
            <wp:effectExtent t="0" r="0" b="0" l="0"/>
            <wp:docPr id="1" name="figure_9_per_class_heatmap.png" descr="Figure 8: Per-Class Performance Heatmap" title="Figure 8: Per-Class Performance Heat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8: Per-Class Performance Heatmap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4.5 Model Family and Phase Comparison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3810000"/>
            <wp:effectExtent t="0" r="0" b="0" l="0"/>
            <wp:docPr id="1" name="figure_8_model_family_comparison.png" descr="Figure 9: Performance by Model Family" title="Figure 9: Performance by Model Fam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9: Performance by Model Family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5_phase_comparison.png" descr="Figure 10: Phase 1 vs Phase 2 Performance" title="Figure 10: Phase 1 vs Phase 2 Perform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10: Phase 1 vs Phase 2 Performance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4.6 Class Imbalance Analysis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All class imbalance techniques (Pos Weight, Focal Loss, Auto Weights) hurt overall Micro F1 by 3.5-4.2% while providing modest Vehicle F1 improvements (+0.07 to +0.08). The baseline BCE loss with proper regularization remains optimal.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6_class_imbalance.png" descr="Figure 11: Class Imbalance Handling Techniques" title="Figure 11: Class Imbalance Handling Techniqu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11: Class Imbalance Handling Techniques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11_confusion_analysis.png" descr="Figure 12: Confusion Analysis" title="Figure 12: Confusion Analy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12: Confusion Analysis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4.7 Model Efficiency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figure_12_model_efficiency.png" descr="Figure 13: Model Efficiency - F1 vs Training Time" title="Figure 13: Model Efficiency - F1 vs Training 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13: Model Efficiency - F1 vs Training Time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5. Critical Analysis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5.1 Vanishing/Exploding Gradients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VGG16 (16 layers, no skip connections): Most susceptible to vanishing gradients. Gradient must flow through 16 sequential layers without shortcuts, reflected in poorest performance (F1: 0.7021) and slowest convergence.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ResNet (skip connections): Identity shortcut ensures dL/dx has a direct path: dL/dx = dL/dH * (dF/dx + I). The identity term I prevents vanishing gradients even through 50 layers. ResNet-50 (0.7598) outperforms VGG16 despite being 3x deeper.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Transformers (Layer Norm + Residuals): Pre-norm design x + Attention(LN(x)) prevents gradient explosion while residuals prevent vanishing. Swin-T achieves 0.8326 F1, demonstrating effective gradient flow through shifted-window attention.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BattleNet (Dual backbone): Inherits gradient stability from both EfficientNet-V2-S (SE blocks + residuals) and Swin-T (layer norm + residuals). Parallel backbones provide two independent gradient paths, further reducing vanishing gradient risk.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5.2 Architecture Comparison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Transformers vs CNNs: Swin-T outperforms the best CNN by +2.42%. Self-attention captures global dependencies critical for recognizing co-occurring military objects. However, ViT-B/16 (0.7563) underperforms many CNNs, indicating hierarchical design (not just attention) is key.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BattleNet Analysis: Despite suboptimal hyperparameters (WD=1e-4 instead of 1e-3, strong augmentation, focal loss, CPU with batch_size=16), BattleNet achieves Micro F1 0.7846 and Macro F1 0.8063, with perfect precision (1.0) on Radar (F1=0.9412). The fusion approach excels at precision-critical detection.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Depth vs Performance: Within ResNet, performance does not scale linearly: ResNet-18 (0.7189) &lt; ResNet-34 (0.7583) &lt; ResNet-50 (0.7598). Diminishing returns suggest limited training data, not model capacity, is the bottleneck.</w:t>
      </w:r>
    </w:p>
    <w:p>
      <w:pPr>
        <w:spacing w:after="80" w:before="20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figure_15_battlenet_vs_backbones.png" descr="Figure 14: BattleNet vs Its Individual Backbone Components" title="Figure 14: BattleNet vs Its Individual Backbone Compon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14: BattleNet vs Its Individual Backbone Components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5.3 BattleNet Training Dynamics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BattleNet reached peak Micro F1 of 0.8075 at fine-tune epoch 13 before slight degradation, suggesting early stopping potential. The dual-backbone requires longer convergence (7.1 hours on CPU) but shows steady improvement during fine-tuning.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4000500"/>
            <wp:effectExtent t="0" r="0" b="0" l="0"/>
            <wp:docPr id="1" name="figure_14_battlenet_training_detail.png" descr="Figure 15: BattleNet Training Dynamics" title="Figure 15: BattleNet Training Dynam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Figure 15: BattleNet Training Dynamics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5.4 Limitations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BattleNet was tested with suboptimal settings: WD=1e-4 (not 1e-3), strong augmentation (-3.5%), focal loss (-3.5%), CPU training, batch_size=16. With optimal settings, it could potentially exceed 0.83+ F1. Dataset is small (1,530 images), single split without cross-validation, and uses fixed 0.5 threshold.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6. Application Perspective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Automated Military Surveillance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system can be deployed for automated military surveillance and threat assessment. Applications include: Aerial Reconnaissance (UAV imagery classification), Border Surveillance (automated detection of military movements), Intelligence Analysis (pre-screening large imagery volumes; BattleNet's perfect Radar precision is valuable for zero false-alarm detection), and Humanitarian Monitoring (detecting weaponry deployments in conflict zones).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Deployment Architecture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Production deployment requires: (1) Image Acquisition Module for satellite/drone feeds; (2) Preprocessing Pipeline for real-time normalization; (3) Inference Engine with the trained model; (4) Alert System generating threat assessments from detected object combinations; (5) Human-in-the-Loop Review for verification.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6.3 Ethical Considerations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Deployment requires human oversight for consequential decisions, bias awareness in training data, and governance by international humanitarian law. The technology should primarily serve defensive and intelligence purposes.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6.4 Future Directions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(1) Retrain BattleNet with optimal settings (WD=1e-3, baseline augmentation, BCE loss, GPU); (2) Ensemble Swin-T and BattleNet; (3) Extend to object detection with bounding boxes; (4) Model pruning and quantization for real-time deployment; (5) Cross-dataset validation; (6) Class-specific threshold optimization.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References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Dosovitskiy, A., et al. (2020). An Image is Worth 16x16 Words: Transformers for Image Recognition at Scale. ICLR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He, K., Zhang, X., Ren, S., &amp; Sun, J. (2016). Deep Residual Learning for Image Recognition. CVPR.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Huang, G., Liu, Z., et al. (2017). Densely Connected Convolutional Networks. CVPR.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Hu, J., Shen, L., &amp; Sun, G. (2018). Squeeze-and-Excitation Networks. CVPR.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Kingma, D. P., &amp; Ba, J. (2015). Adam: A Method for Stochastic Optimization. ICLR.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Liu, Z., et al. (2021). Swin Transformer: Hierarchical Vision Transformer using Shifted Windows. ICCV.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[7] Liu, Z., et al. (2022). A ConvNet for the 2020s. CVPR.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[8] Loshchilov, I., &amp; Hutter, F. (2019). Decoupled Weight Decay Regularization. ICLR.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[9] Sandler, M., et al. (2018). MobileNetV2: Inverted Residuals and Linear Bottlenecks. CVPR.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[10] Simonyan, K., &amp; Zisserman, A. (2015). Very Deep Convolutional Networks for Large-Scale Image Recognition. ICLR.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[11] Srivastava, N., et al. (2014). Dropout: A Simple Way to Prevent Neural Networks from Overfitting. JMLR.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[12] Tan, M., &amp; Le, Q. (2019). EfficientNet: Rethinking Model Scaling for CNNs. ICML.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[13] Tan, M., &amp; Le, Q. (2021). EfficientNetV2: Smaller Models and Faster Training. ICML.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808080"/>
        <w:sz w:val="16"/>
        <w:szCs w:val="16"/>
      </w:rPr>
      <w:t xml:space="preserve">Multi-Label Classification on KIIT-MiTA | Abu Bakar Siddik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d220397b0dfaa3eb38a7a80ec467d00f697c3b.png"/><Relationship Id="rId10" Type="http://schemas.openxmlformats.org/officeDocument/2006/relationships/image" Target="media/694ae2cfb43a7947921a7b5bba8e1fea2c1acb40.png"/><Relationship Id="rId11" Type="http://schemas.openxmlformats.org/officeDocument/2006/relationships/image" Target="media/208a35a0f190bb06c12fb0a33e0d7ffa2eca1f16.png"/><Relationship Id="rId12" Type="http://schemas.openxmlformats.org/officeDocument/2006/relationships/image" Target="media/1d3353d5129287fcb90000b596a8107975c60057.png"/><Relationship Id="rId13" Type="http://schemas.openxmlformats.org/officeDocument/2006/relationships/image" Target="media/e77dea1350eab1578b9765e8d1bdcdd6bae776d9.png"/><Relationship Id="rId14" Type="http://schemas.openxmlformats.org/officeDocument/2006/relationships/image" Target="media/0ad396193c91931461a0646aaf620c0cd65e4792.png"/><Relationship Id="rId15" Type="http://schemas.openxmlformats.org/officeDocument/2006/relationships/image" Target="media/b19e9c4ab45d90f144e25d535c4ff2bb1eb7b99f.png"/><Relationship Id="rId16" Type="http://schemas.openxmlformats.org/officeDocument/2006/relationships/image" Target="media/fdbcf22fc8e05f74ff3765787ce1c759f88fb0ab.png"/><Relationship Id="rId17" Type="http://schemas.openxmlformats.org/officeDocument/2006/relationships/image" Target="media/20a98edce0dea072af70afb13b0191ffca7335b2.png"/><Relationship Id="rId18" Type="http://schemas.openxmlformats.org/officeDocument/2006/relationships/image" Target="media/df837d155deee9175de774a6a717017c22d20445.png"/><Relationship Id="rId19" Type="http://schemas.openxmlformats.org/officeDocument/2006/relationships/image" Target="media/99cbcf68463322da681b8b8560afcb3624724b28.png"/><Relationship Id="rId20" Type="http://schemas.openxmlformats.org/officeDocument/2006/relationships/image" Target="media/4bca458ff555451631a17f2c3494a35dacb6eabe.png"/><Relationship Id="rId21" Type="http://schemas.openxmlformats.org/officeDocument/2006/relationships/image" Target="media/975dab00def6909666b416ec6fc572f7a7aad98b.png"/><Relationship Id="rId22" Type="http://schemas.openxmlformats.org/officeDocument/2006/relationships/image" Target="media/8bd9e9f1554ed356802910498f6a013cdc41f3fd.png"/><Relationship Id="rId23" Type="http://schemas.openxmlformats.org/officeDocument/2006/relationships/image" Target="media/6fe916462ee93cee18367de6cd2710f78fe136ea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2026-03-13T07:01:35.356Z</dcterms:created>
  <dcterms:modified xsi:type="dcterms:W3CDTF">2026-03-13T07:01:35.356Z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