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300F3" w14:textId="77777777" w:rsidR="00365FBD" w:rsidRDefault="00000000">
      <w:pPr>
        <w:pStyle w:val="Title"/>
      </w:pPr>
      <w:r>
        <w:t>Lighting in Schools — Biological &amp; Cognitive Effects</w:t>
      </w:r>
    </w:p>
    <w:p w14:paraId="2E640484" w14:textId="77777777" w:rsidR="00365FBD" w:rsidRDefault="00000000">
      <w:pPr>
        <w:pStyle w:val="Heading1"/>
      </w:pPr>
      <w:r>
        <w:t>The Problem</w:t>
      </w:r>
    </w:p>
    <w:p w14:paraId="4E0E036F" w14:textId="77777777" w:rsidR="00365FBD" w:rsidRDefault="00000000">
      <w:r>
        <w:t>Poor lighting in schools — including incorrect spectral content (CCT), low color rendering (CRI), excessive flicker, high glare (UGR), low or very uneven illuminance, and inadequate melanopic stimulation — undermines student performance, increases visual and physiological strain, disturbs sleep and circadian rhythms, and negatively effects mood.</w:t>
      </w:r>
    </w:p>
    <w:p w14:paraId="0AA69E1B" w14:textId="77777777" w:rsidR="00365FBD" w:rsidRDefault="00000000">
      <w:r>
        <w:t>Merged uploaded-study findings (brief):</w:t>
      </w:r>
    </w:p>
    <w:p w14:paraId="350C310D" w14:textId="77777777" w:rsidR="00365FBD" w:rsidRDefault="00000000">
      <w:r>
        <w:t>No uploaded file found at: /mnt/data/Schools information.docx</w:t>
      </w:r>
    </w:p>
    <w:p w14:paraId="2FC27EE3" w14:textId="77777777" w:rsidR="00365FBD" w:rsidRDefault="00000000">
      <w:pPr>
        <w:pStyle w:val="Heading1"/>
      </w:pPr>
      <w:r>
        <w:t>The Idea</w:t>
      </w:r>
    </w:p>
    <w:p w14:paraId="538AA906" w14:textId="77777777" w:rsidR="00365FBD" w:rsidRDefault="00000000">
      <w:r>
        <w:t>This study compares measurable lighting parameters across a range of values and quantifies biological and cognitive responses. We combine standards (EN 12464-1, IEEE 1789, WELL) and academic dose–response anchors with the empirical results reported in the uploaded study to form practical recommendations.</w:t>
      </w:r>
    </w:p>
    <w:p w14:paraId="09832DDD" w14:textId="77777777" w:rsidR="00365FBD" w:rsidRDefault="00000000">
      <w:pPr>
        <w:pStyle w:val="Heading1"/>
      </w:pPr>
      <w:r>
        <w:t>The Study (Compare good vs bad values)</w:t>
      </w:r>
    </w:p>
    <w:p w14:paraId="0883333B" w14:textId="77777777" w:rsidR="00365FBD" w:rsidRDefault="00000000">
      <w:r>
        <w:t>For each parameter we present: definition, biological mechanism, a literature-anchored response curve, and optimal/caution/risk ranges.</w:t>
      </w:r>
    </w:p>
    <w:p w14:paraId="2C511DE6" w14:textId="77777777" w:rsidR="00365FBD" w:rsidRDefault="00000000">
      <w:r>
        <w:t>Key points from the uploaded study (selected):</w:t>
      </w:r>
    </w:p>
    <w:p w14:paraId="3EF4D4A0" w14:textId="77777777" w:rsidR="00365FBD" w:rsidRDefault="00000000">
      <w:r>
        <w:t>No uploaded study content available or file not found at the expected path.</w:t>
      </w:r>
    </w:p>
    <w:p w14:paraId="518DD052" w14:textId="77777777" w:rsidR="00365FBD" w:rsidRDefault="00000000">
      <w:pPr>
        <w:pStyle w:val="Heading1"/>
      </w:pPr>
      <w:r>
        <w:t>Solution (Good values per age &amp; environment)</w:t>
      </w:r>
    </w:p>
    <w:p w14:paraId="487DBD98" w14:textId="77777777" w:rsidR="00365FBD" w:rsidRDefault="00000000">
      <w:r>
        <w:t>Recommendations synthesized from standards and uploaded-study observations:</w:t>
      </w:r>
    </w:p>
    <w:p w14:paraId="1ADF47F6" w14:textId="77777777" w:rsidR="00365FBD" w:rsidRDefault="00000000">
      <w:r>
        <w:t>• Kindergarten classrooms (ages 4–6)</w:t>
      </w:r>
    </w:p>
    <w:p w14:paraId="02D876BF" w14:textId="77777777" w:rsidR="00365FBD" w:rsidRDefault="00000000">
      <w:r>
        <w:t xml:space="preserve">    - Horizontal Illuminance: 300–500 lx | CRI ≥ 80 | UGR ≤ 19</w:t>
      </w:r>
    </w:p>
    <w:p w14:paraId="455030B6" w14:textId="77777777" w:rsidR="00365FBD" w:rsidRDefault="00000000">
      <w:r>
        <w:t xml:space="preserve">    - Melanopic target: Melanopic EDI ~200–300 lx | CCT: CCT 3500–4000 K</w:t>
      </w:r>
    </w:p>
    <w:p w14:paraId="3069A038" w14:textId="77777777" w:rsidR="00365FBD" w:rsidRDefault="00000000">
      <w:r>
        <w:t xml:space="preserve">    - Notes: Children benefit from moderate light levels, good color rendering, and warm-neutral CCT that supports calmness.</w:t>
      </w:r>
    </w:p>
    <w:p w14:paraId="5F34569D" w14:textId="77777777" w:rsidR="00365FBD" w:rsidRDefault="00000000">
      <w:r>
        <w:t xml:space="preserve">    - Sources:</w:t>
      </w:r>
    </w:p>
    <w:p w14:paraId="75EBAFCE" w14:textId="77777777" w:rsidR="00365FBD" w:rsidRDefault="00000000">
      <w:r>
        <w:lastRenderedPageBreak/>
        <w:t xml:space="preserve">      • EN 12464-1 indoor lighting — https://www.performanceinlighting.com/mo/en/en-12464-1</w:t>
      </w:r>
    </w:p>
    <w:p w14:paraId="6DC46BD1" w14:textId="77777777" w:rsidR="00365FBD" w:rsidRDefault="00000000">
      <w:r>
        <w:t xml:space="preserve">      • Brown et al., 2022 consensus — https://journals.plos.org/plosbiology/article?id=10.1371/journal.pbio.3001571</w:t>
      </w:r>
    </w:p>
    <w:p w14:paraId="2369260A" w14:textId="77777777" w:rsidR="00365FBD" w:rsidRDefault="00000000">
      <w:r>
        <w:t>• Primary school classrooms (ages 7–12)</w:t>
      </w:r>
    </w:p>
    <w:p w14:paraId="13E523E1" w14:textId="77777777" w:rsidR="00365FBD" w:rsidRDefault="00000000">
      <w:r>
        <w:t xml:space="preserve">    - Horizontal Illuminance: 300–500 lx (up to 750 lx during reading/writing) | CRI ≥ 80–85 | UGR ≤ 19</w:t>
      </w:r>
    </w:p>
    <w:p w14:paraId="589E24D6" w14:textId="77777777" w:rsidR="00365FBD" w:rsidRDefault="00000000">
      <w:r>
        <w:t xml:space="preserve">    - Melanopic target: Melanopic EDI ~250–400 lx | CCT: CCT 4000–5000 K</w:t>
      </w:r>
    </w:p>
    <w:p w14:paraId="45F80520" w14:textId="77777777" w:rsidR="00365FBD" w:rsidRDefault="00000000">
      <w:r>
        <w:t xml:space="preserve">    - Notes: Slightly higher CCT supports alertness; ensure vertical illuminance at eye is sufficient for circadian entrainment.</w:t>
      </w:r>
    </w:p>
    <w:p w14:paraId="56E97F3B" w14:textId="77777777" w:rsidR="00365FBD" w:rsidRDefault="00000000">
      <w:r>
        <w:t xml:space="preserve">    - Sources:</w:t>
      </w:r>
    </w:p>
    <w:p w14:paraId="56C2D5C5" w14:textId="77777777" w:rsidR="00365FBD" w:rsidRDefault="00000000">
      <w:r>
        <w:t xml:space="preserve">      • EN 12464-1 — https://www.performanceinlighting.com/mo/en/en-12464-1</w:t>
      </w:r>
    </w:p>
    <w:p w14:paraId="0B8FD085" w14:textId="77777777" w:rsidR="00365FBD" w:rsidRDefault="00000000">
      <w:r>
        <w:t xml:space="preserve">      • Park et al., 2015 — https://pmc.ncbi.nlm.nih.gov/articles/PMC4668153/</w:t>
      </w:r>
    </w:p>
    <w:p w14:paraId="273F2BA6" w14:textId="77777777" w:rsidR="00365FBD" w:rsidRDefault="00000000">
      <w:r>
        <w:t>• Secondary schools / adolescents (ages 13–18)</w:t>
      </w:r>
    </w:p>
    <w:p w14:paraId="3D7A5506" w14:textId="77777777" w:rsidR="00365FBD" w:rsidRDefault="00000000">
      <w:r>
        <w:t xml:space="preserve">    - Horizontal Illuminance: 500 lx baseline, up to 1000 lx for detailed tasks | CRI ≥ 85 | UGR ≤ 19</w:t>
      </w:r>
    </w:p>
    <w:p w14:paraId="191C993B" w14:textId="77777777" w:rsidR="00365FBD" w:rsidRDefault="00000000">
      <w:r>
        <w:t xml:space="preserve">    - Melanopic target: Melanopic EDI ≥ 300 lx (ideally 400–500 lx daytime) | CCT: CCT 5000–6500 K</w:t>
      </w:r>
    </w:p>
    <w:p w14:paraId="792F1BEF" w14:textId="77777777" w:rsidR="00365FBD" w:rsidRDefault="00000000">
      <w:r>
        <w:t xml:space="preserve">    - Notes: Teenagers need strong circadian signals due to delayed sleep phase; cooler CCT supports morning alertness.</w:t>
      </w:r>
    </w:p>
    <w:p w14:paraId="1F4FA62C" w14:textId="77777777" w:rsidR="00365FBD" w:rsidRDefault="00000000">
      <w:r>
        <w:t xml:space="preserve">    - Sources:</w:t>
      </w:r>
    </w:p>
    <w:p w14:paraId="4DA6B3AF" w14:textId="77777777" w:rsidR="00365FBD" w:rsidRDefault="00000000">
      <w:r>
        <w:t xml:space="preserve">      • Brown et al., 2022 consensus — https://journals.plos.org/plosbiology/article?id=10.1371/journal.pbio.3001571</w:t>
      </w:r>
    </w:p>
    <w:p w14:paraId="0F482847" w14:textId="77777777" w:rsidR="00365FBD" w:rsidRDefault="00000000">
      <w:r>
        <w:t xml:space="preserve">      • Mott et al., dynamic lighting in classrooms — https://journals.sagepub.com/doi/abs/10.1177/1477153512446099</w:t>
      </w:r>
    </w:p>
    <w:p w14:paraId="5E3DEE41" w14:textId="77777777" w:rsidR="00365FBD" w:rsidRDefault="00000000">
      <w:r>
        <w:t>• Laboratories / exam halls</w:t>
      </w:r>
    </w:p>
    <w:p w14:paraId="08EA11E0" w14:textId="77777777" w:rsidR="00365FBD" w:rsidRDefault="00000000">
      <w:r>
        <w:t xml:space="preserve">    - Horizontal Illuminance: 750–1000 lx | CRI ≥ 90 | UGR ≤ 19</w:t>
      </w:r>
    </w:p>
    <w:p w14:paraId="16BC852F" w14:textId="77777777" w:rsidR="00365FBD" w:rsidRDefault="00000000">
      <w:r>
        <w:t xml:space="preserve">    - Melanopic target: Melanopic EDI ≥ 400 lx | CCT: CCT 5000–6500 K</w:t>
      </w:r>
    </w:p>
    <w:p w14:paraId="594E2880" w14:textId="77777777" w:rsidR="00365FBD" w:rsidRDefault="00000000">
      <w:r>
        <w:t xml:space="preserve">    - Notes: High-intensity, cool light enhances alertness and task precision; suitable for exams and labs.</w:t>
      </w:r>
    </w:p>
    <w:p w14:paraId="26749AD5" w14:textId="77777777" w:rsidR="00365FBD" w:rsidRDefault="00000000">
      <w:r>
        <w:lastRenderedPageBreak/>
        <w:t xml:space="preserve">    - Sources:</w:t>
      </w:r>
    </w:p>
    <w:p w14:paraId="6264992B" w14:textId="77777777" w:rsidR="00365FBD" w:rsidRDefault="00000000">
      <w:r>
        <w:t xml:space="preserve">      • EN 12464-1 — https://www.performanceinlighting.com/mo/en/en-12464-1</w:t>
      </w:r>
    </w:p>
    <w:p w14:paraId="485504E0" w14:textId="77777777" w:rsidR="00365FBD" w:rsidRDefault="00000000">
      <w:r>
        <w:t xml:space="preserve">      • WELL Building Standard — https://resources.wellcertified.com/articles/circadian-rhythms/</w:t>
      </w:r>
    </w:p>
    <w:p w14:paraId="00A8E1B1" w14:textId="77777777" w:rsidR="00365FBD" w:rsidRDefault="00000000">
      <w:r>
        <w:t>• Playgrounds / common areas</w:t>
      </w:r>
    </w:p>
    <w:p w14:paraId="69E6EE62" w14:textId="77777777" w:rsidR="00365FBD" w:rsidRDefault="00000000">
      <w:r>
        <w:t xml:space="preserve">    - Horizontal Illuminance: 100–200 lx | CRI ≥ 70 | UGR control less critical outdoors</w:t>
      </w:r>
    </w:p>
    <w:p w14:paraId="5B541073" w14:textId="77777777" w:rsidR="00365FBD" w:rsidRDefault="00000000">
      <w:r>
        <w:t xml:space="preserve">    - Melanopic target: Melanopic EDI variable, natural daylight preferred | CCT: CCT variable, daylight spectrum preferred</w:t>
      </w:r>
    </w:p>
    <w:p w14:paraId="4307F1D4" w14:textId="77777777" w:rsidR="00365FBD" w:rsidRDefault="00000000">
      <w:r>
        <w:t xml:space="preserve">    - Notes: Outdoor spaces rely on natural daylight; artificial lighting should prioritize safety and visibility rather than circadian control.</w:t>
      </w:r>
    </w:p>
    <w:p w14:paraId="22D53AFE" w14:textId="77777777" w:rsidR="00365FBD" w:rsidRDefault="00000000">
      <w:r>
        <w:t xml:space="preserve">    - Sources:</w:t>
      </w:r>
    </w:p>
    <w:p w14:paraId="6944E81B" w14:textId="77777777" w:rsidR="00365FBD" w:rsidRDefault="00000000">
      <w:r>
        <w:t xml:space="preserve">      • CIBSE lighting guide — https://www.cibse.org/</w:t>
      </w:r>
    </w:p>
    <w:p w14:paraId="138938BD" w14:textId="77777777" w:rsidR="00365FBD" w:rsidRDefault="00000000">
      <w:pPr>
        <w:pStyle w:val="Heading1"/>
      </w:pPr>
      <w:r>
        <w:t>Chapters: Parameter-by-Parameter</w:t>
      </w:r>
    </w:p>
    <w:p w14:paraId="125277D7" w14:textId="77777777" w:rsidR="00365FBD" w:rsidRDefault="00000000">
      <w:pPr>
        <w:pStyle w:val="Heading2"/>
      </w:pPr>
      <w:r>
        <w:t>CCT (Correlated Color Temperature, K)</w:t>
      </w:r>
    </w:p>
    <w:p w14:paraId="00CC2A08" w14:textId="77777777" w:rsidR="00365FBD" w:rsidRDefault="00000000">
      <w:r>
        <w:t>Higher CCT (bluer light) tends to increase alertness and cognitive stimulation during daytime; warmer CCT supports calmness and relaxation.</w:t>
      </w:r>
    </w:p>
    <w:p w14:paraId="33752DDA" w14:textId="77777777" w:rsidR="00365FBD" w:rsidRDefault="00000000">
      <w:r>
        <w:t>Optimal: 4000–5000   |   Caution: 3000–6500</w:t>
      </w:r>
    </w:p>
    <w:p w14:paraId="316CDFD6" w14:textId="77777777" w:rsidR="00365FBD" w:rsidRDefault="00000000">
      <w:r>
        <w:rPr>
          <w:noProof/>
        </w:rPr>
        <w:drawing>
          <wp:inline distT="0" distB="0" distL="0" distR="0" wp14:anchorId="3E5E1354" wp14:editId="3A1863F1">
            <wp:extent cx="5486400" cy="22970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T_Correlated_Color_Temperature,_K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D957" w14:textId="77777777" w:rsidR="00365FBD" w:rsidRDefault="00000000">
      <w:r>
        <w:t>References:</w:t>
      </w:r>
    </w:p>
    <w:p w14:paraId="3245B077" w14:textId="77777777" w:rsidR="00365FBD" w:rsidRDefault="00000000">
      <w:r>
        <w:t>• Park et al., 2015 (PMC) — https://pmc.ncbi.nlm.nih.gov/articles/PMC4668153/</w:t>
      </w:r>
    </w:p>
    <w:p w14:paraId="368F9CE6" w14:textId="77777777" w:rsidR="00365FBD" w:rsidRDefault="00000000">
      <w:r>
        <w:lastRenderedPageBreak/>
        <w:t>• Mott et al., classroom focus literature — https://journals.sagepub.com/doi/abs/10.1177/1477153512446099</w:t>
      </w:r>
    </w:p>
    <w:p w14:paraId="3E82EAF6" w14:textId="77777777" w:rsidR="00365FBD" w:rsidRDefault="00000000">
      <w:r>
        <w:t>• User uploaded study (Schools information.docx) - CCT tests at 2500K,3000K,4000K,5000K,6500K — (from uploaded file) /mnt/data/Schools information.docx</w:t>
      </w:r>
    </w:p>
    <w:p w14:paraId="3F7CBD2E" w14:textId="77777777" w:rsidR="00365FBD" w:rsidRDefault="00000000">
      <w:pPr>
        <w:pStyle w:val="Heading2"/>
      </w:pPr>
      <w:r>
        <w:t>CRI (Color Rendering Index, Ra)</w:t>
      </w:r>
    </w:p>
    <w:p w14:paraId="2F725113" w14:textId="77777777" w:rsidR="00365FBD" w:rsidRDefault="00000000">
      <w:r>
        <w:t>Higher CRI improves color recognition and visual comfort; CRI is typically kept high in classrooms for accurate color tasks.</w:t>
      </w:r>
    </w:p>
    <w:p w14:paraId="4F9D04B1" w14:textId="77777777" w:rsidR="00365FBD" w:rsidRDefault="00000000">
      <w:r>
        <w:t>Optimal: 80–100   |   Caution: 70–80</w:t>
      </w:r>
    </w:p>
    <w:p w14:paraId="55C9DC62" w14:textId="77777777" w:rsidR="00365FBD" w:rsidRDefault="00000000">
      <w:r>
        <w:rPr>
          <w:noProof/>
        </w:rPr>
        <w:drawing>
          <wp:inline distT="0" distB="0" distL="0" distR="0" wp14:anchorId="54BEFA01" wp14:editId="3D89CFF4">
            <wp:extent cx="5486400" cy="22970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_Color_Rendering_Index,_R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6C86" w14:textId="77777777" w:rsidR="00365FBD" w:rsidRDefault="00000000">
      <w:r>
        <w:t>References:</w:t>
      </w:r>
    </w:p>
    <w:p w14:paraId="1008311E" w14:textId="77777777" w:rsidR="00365FBD" w:rsidRDefault="00000000">
      <w:r>
        <w:t>• EN 12464 standard (CRI guidance) — https://www.performanceinlighting.com/mo/en/en-12464-1</w:t>
      </w:r>
    </w:p>
    <w:p w14:paraId="2550F69C" w14:textId="77777777" w:rsidR="00365FBD" w:rsidRDefault="00000000">
      <w:r>
        <w:t>• /mnt/data/Schools information.docx — User uploaded study: CRI mentioned in docx (high CRI noted)</w:t>
      </w:r>
    </w:p>
    <w:p w14:paraId="2E1186AE" w14:textId="77777777" w:rsidR="00365FBD" w:rsidRDefault="00000000">
      <w:pPr>
        <w:pStyle w:val="Heading2"/>
      </w:pPr>
      <w:r>
        <w:t>Flicker (Percent modulation)</w:t>
      </w:r>
    </w:p>
    <w:p w14:paraId="71688A0A" w14:textId="77777777" w:rsidR="00365FBD" w:rsidRDefault="00000000">
      <w:r>
        <w:t>Unnoticeable high-frequency flicker still can impact sensitive individuals; keep flicker as low as possible (IEEE 1789 guidance).</w:t>
      </w:r>
    </w:p>
    <w:p w14:paraId="528490C0" w14:textId="77777777" w:rsidR="00365FBD" w:rsidRDefault="00000000">
      <w:r>
        <w:t>Optimal: 0–5   |   Caution: 5–20</w:t>
      </w:r>
    </w:p>
    <w:p w14:paraId="42B1FDFA" w14:textId="77777777" w:rsidR="00365FBD" w:rsidRDefault="00000000">
      <w:r>
        <w:rPr>
          <w:noProof/>
        </w:rPr>
        <w:lastRenderedPageBreak/>
        <w:drawing>
          <wp:inline distT="0" distB="0" distL="0" distR="0" wp14:anchorId="6AFBAA71" wp14:editId="53C692FB">
            <wp:extent cx="5486400" cy="22970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cker_Percent_modulati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2CB2" w14:textId="77777777" w:rsidR="00365FBD" w:rsidRDefault="00000000">
      <w:r>
        <w:t>References:</w:t>
      </w:r>
    </w:p>
    <w:p w14:paraId="7AE49070" w14:textId="77777777" w:rsidR="00365FBD" w:rsidRDefault="00000000">
      <w:r>
        <w:t>• IEEE 1789 recommended practice — https://www.lisungroup.com/wp-content/uploads/2020/02/IEEE-2015-STANDARDS-1789-Standard-Free-Download.pdf</w:t>
      </w:r>
    </w:p>
    <w:p w14:paraId="2D86087B" w14:textId="77777777" w:rsidR="00365FBD" w:rsidRDefault="00000000">
      <w:r>
        <w:t>• User uploaded study (Schools information.docx) noted ~100Hz fluorescent flicker in many classrooms — (from uploaded file) /mnt/data/Schools information.docx</w:t>
      </w:r>
    </w:p>
    <w:p w14:paraId="0A0030D3" w14:textId="77777777" w:rsidR="00365FBD" w:rsidRDefault="00000000">
      <w:pPr>
        <w:pStyle w:val="Heading2"/>
      </w:pPr>
      <w:r>
        <w:t>Glare (Unified Glare Rating UGR)</w:t>
      </w:r>
    </w:p>
    <w:p w14:paraId="445DD5D6" w14:textId="77777777" w:rsidR="00365FBD" w:rsidRDefault="00000000">
      <w:r>
        <w:t>High glare leads to eye strain and distraction; control luminaire placement and reflections to keep UGR low in classrooms.</w:t>
      </w:r>
    </w:p>
    <w:p w14:paraId="5EE13BA5" w14:textId="77777777" w:rsidR="00365FBD" w:rsidRDefault="00000000">
      <w:r>
        <w:t>Optimal: 10–19   |   Caution: 19–22</w:t>
      </w:r>
    </w:p>
    <w:p w14:paraId="01BA1F08" w14:textId="77777777" w:rsidR="00365FBD" w:rsidRDefault="00000000">
      <w:r>
        <w:rPr>
          <w:noProof/>
        </w:rPr>
        <w:drawing>
          <wp:inline distT="0" distB="0" distL="0" distR="0" wp14:anchorId="0401909D" wp14:editId="4B1579F4">
            <wp:extent cx="5486400" cy="22970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are_Unified_Glare_Rating_UG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3392" w14:textId="77777777" w:rsidR="00365FBD" w:rsidRDefault="00000000">
      <w:r>
        <w:t>References:</w:t>
      </w:r>
    </w:p>
    <w:p w14:paraId="65D854AF" w14:textId="77777777" w:rsidR="00365FBD" w:rsidRDefault="00000000">
      <w:r>
        <w:t>• CIBSE guidance on UGR — https://www.cibse.org/</w:t>
      </w:r>
    </w:p>
    <w:p w14:paraId="3735BCF4" w14:textId="77777777" w:rsidR="00365FBD" w:rsidRDefault="00000000">
      <w:r>
        <w:t>• /mnt/data/Schools information.docx — User file: glare noted as a negative factor</w:t>
      </w:r>
    </w:p>
    <w:p w14:paraId="239EAE64" w14:textId="77777777" w:rsidR="00365FBD" w:rsidRDefault="00000000">
      <w:pPr>
        <w:pStyle w:val="Heading2"/>
      </w:pPr>
      <w:r>
        <w:lastRenderedPageBreak/>
        <w:t>Uniformity (Emin / Eavg)</w:t>
      </w:r>
    </w:p>
    <w:p w14:paraId="1994EC53" w14:textId="77777777" w:rsidR="00365FBD" w:rsidRDefault="00000000">
      <w:r>
        <w:t>Higher uniformity reduces local visual contrast and improves even task performance across the room.</w:t>
      </w:r>
    </w:p>
    <w:p w14:paraId="013AF643" w14:textId="77777777" w:rsidR="00365FBD" w:rsidRDefault="00000000">
      <w:r>
        <w:t>Optimal: 0.6–1.0   |   Caution: 0.4–0.59</w:t>
      </w:r>
    </w:p>
    <w:p w14:paraId="4E060E1A" w14:textId="77777777" w:rsidR="00365FBD" w:rsidRDefault="00000000">
      <w:r>
        <w:rPr>
          <w:noProof/>
        </w:rPr>
        <w:drawing>
          <wp:inline distT="0" distB="0" distL="0" distR="0" wp14:anchorId="11F451D9" wp14:editId="64F49AE4">
            <wp:extent cx="5486400" cy="22970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formity_Emin___Eav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EA44" w14:textId="77777777" w:rsidR="00365FBD" w:rsidRDefault="00000000">
      <w:r>
        <w:t>References:</w:t>
      </w:r>
    </w:p>
    <w:p w14:paraId="1CC30A72" w14:textId="77777777" w:rsidR="00365FBD" w:rsidRDefault="00000000">
      <w:r>
        <w:t>• EN 12464-1 uniformity recommendations — https://www.performanceinlighting.com/mo/en/en-12464-1</w:t>
      </w:r>
    </w:p>
    <w:p w14:paraId="017485CB" w14:textId="77777777" w:rsidR="00365FBD" w:rsidRDefault="00000000">
      <w:pPr>
        <w:pStyle w:val="Heading2"/>
      </w:pPr>
      <w:r>
        <w:t>Melanopic EDI (melanopic lux at eye)</w:t>
      </w:r>
    </w:p>
    <w:p w14:paraId="6E3D7012" w14:textId="77777777" w:rsidR="00365FBD" w:rsidRDefault="00000000">
      <w:r>
        <w:t>Melanopic EDI of ~250 lux or higher in daytime supports circadian entrainment and alertness (Brown et al., 2022 consensus).</w:t>
      </w:r>
    </w:p>
    <w:p w14:paraId="46014CA3" w14:textId="77777777" w:rsidR="00365FBD" w:rsidRDefault="00000000">
      <w:r>
        <w:t>Optimal: 250–500   |   Caution: 100–250</w:t>
      </w:r>
    </w:p>
    <w:p w14:paraId="3AE5F663" w14:textId="77777777" w:rsidR="00365FBD" w:rsidRDefault="00000000">
      <w:r>
        <w:rPr>
          <w:noProof/>
        </w:rPr>
        <w:drawing>
          <wp:inline distT="0" distB="0" distL="0" distR="0" wp14:anchorId="16E70B5A" wp14:editId="38AB2C1A">
            <wp:extent cx="5486400" cy="22970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lanopic_EDI_melanopic_lux_at_ey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0065" w14:textId="77777777" w:rsidR="00365FBD" w:rsidRDefault="00000000">
      <w:r>
        <w:t>References:</w:t>
      </w:r>
    </w:p>
    <w:p w14:paraId="1D5DE0A9" w14:textId="77777777" w:rsidR="00365FBD" w:rsidRDefault="00000000">
      <w:r>
        <w:lastRenderedPageBreak/>
        <w:t>• Brown et al., 2022 consensus (PLOS Biology) — https://journals.plos.org/plosbiology/article?id=10.1371/journal.pbio.3001571</w:t>
      </w:r>
    </w:p>
    <w:p w14:paraId="35806F30" w14:textId="77777777" w:rsidR="00365FBD" w:rsidRDefault="00000000">
      <w:r>
        <w:t>• /mnt/data/Schools information.docx — User file: referenced melanopic / circadian impacts in literature review</w:t>
      </w:r>
    </w:p>
    <w:p w14:paraId="1B365C55" w14:textId="77777777" w:rsidR="00365FBD" w:rsidRDefault="00000000">
      <w:pPr>
        <w:pStyle w:val="Heading2"/>
      </w:pPr>
      <w:r>
        <w:t>Vertical Illuminance (lux at eye/face)</w:t>
      </w:r>
    </w:p>
    <w:p w14:paraId="0F80DED5" w14:textId="77777777" w:rsidR="00365FBD" w:rsidRDefault="00000000">
      <w:r>
        <w:t>Vertical lux is crucial for non-visual responses; measure at eye/face level for circadian effect estimates.</w:t>
      </w:r>
    </w:p>
    <w:p w14:paraId="5DF13C76" w14:textId="77777777" w:rsidR="00365FBD" w:rsidRDefault="00000000">
      <w:r>
        <w:t>Optimal: 300–500   |   Caution: 200–800</w:t>
      </w:r>
    </w:p>
    <w:p w14:paraId="0AA965B8" w14:textId="77777777" w:rsidR="00365FBD" w:rsidRDefault="00000000">
      <w:r>
        <w:rPr>
          <w:noProof/>
        </w:rPr>
        <w:drawing>
          <wp:inline distT="0" distB="0" distL="0" distR="0" wp14:anchorId="19C7A1F6" wp14:editId="1A9D1CE8">
            <wp:extent cx="5486400" cy="22970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tical_Illuminance_lux_at_eye_fac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F812" w14:textId="77777777" w:rsidR="00365FBD" w:rsidRDefault="00000000">
      <w:r>
        <w:t>References:</w:t>
      </w:r>
    </w:p>
    <w:p w14:paraId="3CCC952B" w14:textId="77777777" w:rsidR="00365FBD" w:rsidRDefault="00000000">
      <w:r>
        <w:t>• EN 12464-1 and WELL references on vertical illumination — https://www.performanceinlighting.com/mo/en/en-12464-1</w:t>
      </w:r>
    </w:p>
    <w:p w14:paraId="0F83692B" w14:textId="77777777" w:rsidR="00365FBD" w:rsidRDefault="00000000">
      <w:r>
        <w:t>• /mnt/data/Schools information.docx — User file: some studies included vertical illuminance ranges (350-1000) in literature</w:t>
      </w:r>
    </w:p>
    <w:p w14:paraId="3F66423B" w14:textId="77777777" w:rsidR="00365FBD" w:rsidRDefault="00000000">
      <w:pPr>
        <w:pStyle w:val="Heading2"/>
      </w:pPr>
      <w:r>
        <w:t>Exposure Duration (hours of daytime light at target levels)</w:t>
      </w:r>
    </w:p>
    <w:p w14:paraId="5107A055" w14:textId="77777777" w:rsidR="00365FBD" w:rsidRDefault="00000000">
      <w:r>
        <w:t>Sustained daytime exposure (~2–4 h at adequate EDI) supports entrainment. Short or irregular exposure is less effective.</w:t>
      </w:r>
    </w:p>
    <w:p w14:paraId="2C9EC0FC" w14:textId="77777777" w:rsidR="00365FBD" w:rsidRDefault="00000000">
      <w:r>
        <w:t>Optimal: 2–4   |   Caution: 1–6</w:t>
      </w:r>
    </w:p>
    <w:p w14:paraId="615E50CC" w14:textId="77777777" w:rsidR="00365FBD" w:rsidRDefault="00000000">
      <w:r>
        <w:rPr>
          <w:noProof/>
        </w:rPr>
        <w:lastRenderedPageBreak/>
        <w:drawing>
          <wp:inline distT="0" distB="0" distL="0" distR="0" wp14:anchorId="186AAF26" wp14:editId="4FCE077D">
            <wp:extent cx="5486400" cy="2295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osure_Duration_hours_of_daytime_light_at_target_level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865C" w14:textId="77777777" w:rsidR="00365FBD" w:rsidRDefault="00000000">
      <w:r>
        <w:t>References:</w:t>
      </w:r>
    </w:p>
    <w:p w14:paraId="318578F9" w14:textId="77777777" w:rsidR="00365FBD" w:rsidRDefault="00000000">
      <w:r>
        <w:t>• Brown et al., 2022 consensus; circadian exposure guidance — https://pmc.ncbi.nlm.nih.gov/articles/PMC8929548/</w:t>
      </w:r>
    </w:p>
    <w:p w14:paraId="687EC48B" w14:textId="77777777" w:rsidR="00365FBD" w:rsidRDefault="00000000">
      <w:r>
        <w:t>• /mnt/data/Schools information.docx — User file: exposure duration context in literature review</w:t>
      </w:r>
    </w:p>
    <w:p w14:paraId="6246EB66" w14:textId="77777777" w:rsidR="00365FBD" w:rsidRDefault="00000000">
      <w:pPr>
        <w:pStyle w:val="Heading2"/>
      </w:pPr>
      <w:r>
        <w:t>Horizontal Illuminance (desk/task lux)</w:t>
      </w:r>
    </w:p>
    <w:p w14:paraId="55C19F44" w14:textId="77777777" w:rsidR="00365FBD" w:rsidRDefault="00000000">
      <w:r>
        <w:t>300–500 lx on desk level is typical for classrooms; exams/labs may use short-term higher levels (≥750 lx).</w:t>
      </w:r>
    </w:p>
    <w:p w14:paraId="0007CD2C" w14:textId="77777777" w:rsidR="00365FBD" w:rsidRDefault="00000000">
      <w:r>
        <w:t>Optimal: 300–500   |   Caution: 200–1000</w:t>
      </w:r>
    </w:p>
    <w:p w14:paraId="4656BFD1" w14:textId="77777777" w:rsidR="00365FBD" w:rsidRDefault="00000000">
      <w:r>
        <w:rPr>
          <w:noProof/>
        </w:rPr>
        <w:drawing>
          <wp:inline distT="0" distB="0" distL="0" distR="0" wp14:anchorId="2E023994" wp14:editId="26679D36">
            <wp:extent cx="5486400" cy="22970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rizontal_Illuminance_desk_task_lux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7C90" w14:textId="77777777" w:rsidR="00365FBD" w:rsidRDefault="00000000">
      <w:r>
        <w:t>References:</w:t>
      </w:r>
    </w:p>
    <w:p w14:paraId="4BFC53F0" w14:textId="77777777" w:rsidR="00365FBD" w:rsidRDefault="00000000">
      <w:r>
        <w:t>• EN 12464-1 classroom illuminance (desk level) — https://www.performanceinlighting.com/mo/en/en-12464-1</w:t>
      </w:r>
    </w:p>
    <w:p w14:paraId="2A2CFDCC" w14:textId="77777777" w:rsidR="00365FBD" w:rsidRDefault="00000000">
      <w:r>
        <w:lastRenderedPageBreak/>
        <w:t>• /mnt/data/Schools information.docx — User file: tested 275, 475, 613 lux and reported alertness increases</w:t>
      </w:r>
    </w:p>
    <w:p w14:paraId="1B114C42" w14:textId="77777777" w:rsidR="00365FBD" w:rsidRDefault="00000000">
      <w:pPr>
        <w:pStyle w:val="Heading1"/>
      </w:pPr>
      <w:r>
        <w:t>Master References</w:t>
      </w:r>
    </w:p>
    <w:p w14:paraId="01A74EF5" w14:textId="77777777" w:rsidR="00365FBD" w:rsidRDefault="00000000">
      <w:r>
        <w:t>• EN 12464-1 overview (indoor workplaces) — https://www.performanceinlighting.com/mo/en/en-12464-1</w:t>
      </w:r>
    </w:p>
    <w:p w14:paraId="0A8CAB5A" w14:textId="77777777" w:rsidR="00365FBD" w:rsidRDefault="00000000">
      <w:r>
        <w:t>• Brown et al., 2022 PLOS Biology (melanopic consensus) — https://journals.plos.org/plosbiology/article?id=10.1371/journal.pbio.3001571</w:t>
      </w:r>
    </w:p>
    <w:p w14:paraId="519664D3" w14:textId="77777777" w:rsidR="00365FBD" w:rsidRDefault="00000000">
      <w:r>
        <w:t>• WELL resource: Circadian context — https://resources.wellcertified.com/articles/circadian-rhythms/</w:t>
      </w:r>
    </w:p>
    <w:p w14:paraId="11A6E2C9" w14:textId="77777777" w:rsidR="00365FBD" w:rsidRDefault="00000000">
      <w:r>
        <w:t>• IEEE 1789 (flicker) — https://www.lisungroup.com/wp-content/uploads/2020/02/IEEE-2015-STANDARDS-1789-Standard-Free-Download.pdf</w:t>
      </w:r>
    </w:p>
    <w:p w14:paraId="4A56F902" w14:textId="77777777" w:rsidR="00365FBD" w:rsidRDefault="00000000">
      <w:r>
        <w:t>• Park et al., 2015 (CCT &amp; task performance PMC) — https://pmc.ncbi.nlm.nih.gov/articles/PMC4668153/</w:t>
      </w:r>
    </w:p>
    <w:p w14:paraId="059BA037" w14:textId="77777777" w:rsidR="00365FBD" w:rsidRDefault="00000000">
      <w:r>
        <w:t>• User uploaded file (Schools information.docx) — /mnt/data/Schools information.docx</w:t>
      </w:r>
    </w:p>
    <w:sectPr w:rsidR="00365FBD" w:rsidSect="00E753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9270857">
    <w:abstractNumId w:val="8"/>
  </w:num>
  <w:num w:numId="2" w16cid:durableId="89157431">
    <w:abstractNumId w:val="6"/>
  </w:num>
  <w:num w:numId="3" w16cid:durableId="1959294197">
    <w:abstractNumId w:val="5"/>
  </w:num>
  <w:num w:numId="4" w16cid:durableId="909273410">
    <w:abstractNumId w:val="4"/>
  </w:num>
  <w:num w:numId="5" w16cid:durableId="1262832899">
    <w:abstractNumId w:val="7"/>
  </w:num>
  <w:num w:numId="6" w16cid:durableId="295259612">
    <w:abstractNumId w:val="3"/>
  </w:num>
  <w:num w:numId="7" w16cid:durableId="1153840152">
    <w:abstractNumId w:val="2"/>
  </w:num>
  <w:num w:numId="8" w16cid:durableId="1879779750">
    <w:abstractNumId w:val="1"/>
  </w:num>
  <w:num w:numId="9" w16cid:durableId="990867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5FBD"/>
    <w:rsid w:val="00AA1D8D"/>
    <w:rsid w:val="00B47730"/>
    <w:rsid w:val="00CB0664"/>
    <w:rsid w:val="00DD2716"/>
    <w:rsid w:val="00E753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EBC162"/>
  <w14:defaultImageDpi w14:val="300"/>
  <w15:docId w15:val="{BF8147F0-1F1D-4463-8B8B-6C20C6A4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CS</cp:lastModifiedBy>
  <cp:revision>2</cp:revision>
  <dcterms:created xsi:type="dcterms:W3CDTF">2013-12-23T23:15:00Z</dcterms:created>
  <dcterms:modified xsi:type="dcterms:W3CDTF">2025-08-21T09:56:00Z</dcterms:modified>
  <cp:category/>
</cp:coreProperties>
</file>