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Large"/>
        <w:jc w:val="center"/>
      </w:pPr>
      <w:r>
        <w:t>CCT — Correlated Color Temperature (K)</w:t>
      </w:r>
    </w:p>
    <w:p>
      <w:pPr>
        <w:pStyle w:val="Body"/>
        <w:jc w:val="center"/>
      </w:pPr>
      <w:r>
        <w:t>Spectral balance and non-visual biology in schools</w:t>
      </w:r>
    </w:p>
    <w:p>
      <w:pPr>
        <w:pStyle w:val="H1"/>
      </w:pPr>
      <w:r>
        <w:t>Definition</w:t>
      </w:r>
    </w:p>
    <w:p>
      <w:pPr>
        <w:pStyle w:val="Body"/>
      </w:pPr>
      <w:r>
        <w:t>Descriptor of spectral appearance vs. a blackbody radiator. Higher CCT = blue-rich (shorter wavelengths); lower CCT = warm (longer wavelengths).</w:t>
      </w:r>
    </w:p>
    <w:p>
      <w:pPr>
        <w:pStyle w:val="H1"/>
      </w:pPr>
      <w:r>
        <w:t>Recommended Ranges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</w:tcPr>
          <w:p>
            <w:r>
              <w:t>Optimal</w:t>
            </w:r>
          </w:p>
        </w:tc>
        <w:tc>
          <w:tcPr>
            <w:tcW w:type="dxa" w:w="6480"/>
          </w:tcPr>
          <w:p>
            <w:r>
              <w:t>4000–5000 K (general instruction), 5000–6500 K (morning alertness/exams), 3000–3500 K (late-day calming).</w:t>
            </w:r>
          </w:p>
        </w:tc>
      </w:tr>
      <w:tr>
        <w:tc>
          <w:tcPr>
            <w:tcW w:type="dxa" w:w="2880"/>
          </w:tcPr>
          <w:p>
            <w:r>
              <w:t>Caution</w:t>
            </w:r>
          </w:p>
        </w:tc>
        <w:tc>
          <w:tcPr>
            <w:tcW w:type="dxa" w:w="6480"/>
          </w:tcPr>
          <w:p>
            <w:r>
              <w:t>≤2700 K (daytime sleepiness risk) or ≥6500 K (discomfort/glare if uncontrolled).</w:t>
            </w:r>
          </w:p>
        </w:tc>
      </w:tr>
    </w:tbl>
    <w:p>
      <w:pPr>
        <w:pStyle w:val="H1"/>
      </w:pPr>
      <w:r>
        <w:t>Biological Effects</w:t>
      </w:r>
    </w:p>
    <w:p>
      <w:pPr>
        <w:pStyle w:val="H2"/>
      </w:pPr>
      <w:r>
        <w:t>Hormones (Endocrine)</w:t>
      </w:r>
    </w:p>
    <w:p>
      <w:pPr>
        <w:pStyle w:val="Bullet"/>
      </w:pPr>
      <w:r>
        <w:t>Blue-rich (~460–490 nm) → ipRGC (OPN4) activation → SCN → ↓ sympathetic tone to pineal → ↓ NE → ↓ AANAT → ↓ melatonin synthesis (day).</w:t>
      </w:r>
    </w:p>
    <w:p>
      <w:pPr>
        <w:pStyle w:val="Bullet"/>
      </w:pPr>
      <w:r>
        <w:t>Morning blue-enriched light supports CRH→ACTH→cortisol diurnal peak; stabilizes HPA rhythm.</w:t>
      </w:r>
    </w:p>
    <w:p>
      <w:pPr>
        <w:pStyle w:val="Bullet"/>
      </w:pPr>
      <w:r>
        <w:t>Daytime light increases serotonin turnover (raphe), supporting mood/attention; evening warm light permits melatonin rise.</w:t>
      </w:r>
    </w:p>
    <w:p>
      <w:pPr>
        <w:pStyle w:val="H2"/>
      </w:pPr>
      <w:r>
        <w:t>Skin (Photobiology &amp; Peripheral Clocks)</w:t>
      </w:r>
    </w:p>
    <w:p>
      <w:pPr>
        <w:pStyle w:val="Bullet"/>
      </w:pPr>
      <w:r>
        <w:t>Typical classroom LEDs lack UVB → negligible vitamin D synthesis.</w:t>
      </w:r>
    </w:p>
    <w:p>
      <w:pPr>
        <w:pStyle w:val="Bullet"/>
      </w:pPr>
      <w:r>
        <w:t>Skin opsins (OPN3/OPN5) can entrain local clocks via G-protein–cAMP–CREB; systemic impact modest at indoor illuminances.</w:t>
      </w:r>
    </w:p>
    <w:p>
      <w:pPr>
        <w:pStyle w:val="H2"/>
      </w:pPr>
      <w:r>
        <w:t>Nervous System (ipRGC → SCN → CNS)</w:t>
      </w:r>
    </w:p>
    <w:p>
      <w:pPr>
        <w:pStyle w:val="Bullet"/>
      </w:pPr>
      <w:r>
        <w:t>ipRGC glutamatergic input (NMDA) to SCN shifts CLOCK/BMAL1 → PER/CRY molecular clock phase.</w:t>
      </w:r>
    </w:p>
    <w:p>
      <w:pPr>
        <w:pStyle w:val="Bullet"/>
      </w:pPr>
      <w:r>
        <w:t>Blue light increases retinal dopamine, aiding contrast sensitivity and attentional performance.</w:t>
      </w:r>
    </w:p>
    <w:p>
      <w:pPr>
        <w:pStyle w:val="H1"/>
      </w:pPr>
      <w:r>
        <w:t>Biochemical Pathways (Mechanistic Detail)</w:t>
      </w:r>
    </w:p>
    <w:p>
      <w:pPr>
        <w:pStyle w:val="Bullet"/>
      </w:pPr>
      <w:r>
        <w:t>ipRGC→SCN: glutamate + PACAP → NMDA-dependent Ca²⁺ influx → CREB phosphorylation → Per1/Per2 transcription → phase shifts.</w:t>
      </w:r>
    </w:p>
    <w:p>
      <w:pPr>
        <w:pStyle w:val="Bullet"/>
      </w:pPr>
      <w:r>
        <w:t>SCN→PVN→IML→SCG→pineal: ↓ β-adrenergic signaling → ↓ cAMP/PKA → ↓ AANAT → melatonin↓.</w:t>
      </w:r>
    </w:p>
    <w:p>
      <w:pPr>
        <w:pStyle w:val="Bullet"/>
      </w:pPr>
      <w:r>
        <w:t>Serotonin (TPH2) day turnover; night: 5-HT → melatonin via AANAT/ASMT.</w:t>
      </w:r>
    </w:p>
    <w:p>
      <w:pPr>
        <w:pStyle w:val="H1"/>
      </w:pPr>
      <w:r>
        <w:t>Classroom Recommendations</w:t>
      </w:r>
    </w:p>
    <w:p>
      <w:pPr>
        <w:pStyle w:val="Bullet"/>
      </w:pPr>
      <w:r>
        <w:t>Provide scene presets: Focus (5000–6500 K morning), General (4000–5000 K), Calm (3000–3500 K late-day).</w:t>
      </w:r>
    </w:p>
    <w:p>
      <w:pPr>
        <w:pStyle w:val="Bullet"/>
      </w:pPr>
      <w:r>
        <w:t>Coordinate CCT with glare control and vertical EDI targets.</w:t>
      </w:r>
    </w:p>
    <w:p>
      <w:pPr>
        <w:pStyle w:val="H1"/>
      </w:pPr>
      <w:r>
        <w:t>Quick Checklist</w:t>
      </w:r>
    </w:p>
    <w:p>
      <w:pPr>
        <w:pStyle w:val="Bullet"/>
      </w:pPr>
      <w:r>
        <w:t>CCT scenes mapped to schedule.</w:t>
      </w:r>
    </w:p>
    <w:p>
      <w:pPr>
        <w:pStyle w:val="Bullet"/>
      </w:pPr>
      <w:r>
        <w:t>Glare controlled when using higher CCT.</w:t>
      </w:r>
    </w:p>
    <w:p>
      <w:pPr>
        <w:pStyle w:val="Bullet"/>
      </w:pPr>
      <w:r>
        <w:t>Teacher control available.</w:t>
      </w:r>
    </w:p>
    <w:p>
      <w:pPr>
        <w:pStyle w:val="H1"/>
      </w:pPr>
      <w:r>
        <w:t>References</w:t>
      </w:r>
    </w:p>
    <w:p>
      <w:pPr>
        <w:pStyle w:val="Bullet"/>
      </w:pPr>
      <w:r>
        <w:t>Park et al. (2015) — CCT &amp; illuminance on performance.</w:t>
      </w:r>
    </w:p>
    <w:p>
      <w:pPr>
        <w:pStyle w:val="Bullet"/>
      </w:pPr>
      <w:r>
        <w:t>Brown TM et al. (2022) — Reporting light for non-visual effects; melanopic metrics.</w:t>
      </w:r>
    </w:p>
    <w:p>
      <w:pPr>
        <w:pStyle w:val="Bullet"/>
      </w:pPr>
      <w:r>
        <w:t>Mott et al. — Classroom dynamic lighting and reading fluency.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leLarge">
    <w:name w:val="TitleLarge"/>
    <w:basedOn w:val="Title"/>
    <w:rPr>
      <w:rFonts w:ascii="Calibri" w:hAnsi="Calibri"/>
      <w:b/>
      <w:sz w:val="56"/>
    </w:rPr>
  </w:style>
  <w:style w:type="paragraph" w:customStyle="1" w:styleId="H1">
    <w:name w:val="H1"/>
    <w:basedOn w:val="Heading1"/>
    <w:rPr>
      <w:rFonts w:ascii="Calibri" w:hAnsi="Calibri"/>
      <w:b/>
      <w:sz w:val="36"/>
    </w:rPr>
  </w:style>
  <w:style w:type="paragraph" w:customStyle="1" w:styleId="H2">
    <w:name w:val="H2"/>
    <w:basedOn w:val="Heading2"/>
    <w:rPr>
      <w:rFonts w:ascii="Calibri" w:hAnsi="Calibri"/>
      <w:b/>
      <w:sz w:val="28"/>
    </w:rPr>
  </w:style>
  <w:style w:type="paragraph" w:customStyle="1" w:styleId="Body">
    <w:name w:val="Body"/>
    <w:basedOn w:val="Normal"/>
    <w:rPr>
      <w:rFonts w:ascii="Calibri" w:hAnsi="Calibri"/>
      <w:sz w:val="22"/>
    </w:rPr>
  </w:style>
  <w:style w:type="paragraph" w:customStyle="1" w:styleId="Bullet">
    <w:name w:val="Bullet"/>
    <w:basedOn w:val="ListBullet"/>
    <w:rPr>
      <w:rFonts w:ascii="Calibri" w:hAnsi="Calibri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