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Large"/>
        <w:jc w:val="center"/>
      </w:pPr>
      <w:r>
        <w:t>CRI — Color Rendering Index (Ra)</w:t>
      </w:r>
    </w:p>
    <w:p>
      <w:pPr>
        <w:pStyle w:val="Body"/>
        <w:jc w:val="center"/>
      </w:pPr>
      <w:r>
        <w:t>Color fidelity, strain, and indirect stress biology</w:t>
      </w:r>
    </w:p>
    <w:p>
      <w:pPr>
        <w:pStyle w:val="H1"/>
      </w:pPr>
      <w:r>
        <w:t>Definition</w:t>
      </w:r>
    </w:p>
    <w:p>
      <w:pPr>
        <w:pStyle w:val="Body"/>
      </w:pPr>
      <w:r>
        <w:t>Fidelity of color appearance vs. a reference. High CRI improves accurate perception of materials/skin tones.</w:t>
      </w:r>
    </w:p>
    <w:p>
      <w:pPr>
        <w:pStyle w:val="H1"/>
      </w:pPr>
      <w:r>
        <w:t>Recommended Ranges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Optimal</w:t>
            </w:r>
          </w:p>
        </w:tc>
        <w:tc>
          <w:tcPr>
            <w:tcW w:type="dxa" w:w="6480"/>
          </w:tcPr>
          <w:p>
            <w:r>
              <w:t>Ra ≥80 (classrooms), Ra ≥90 (art/labs).</w:t>
            </w:r>
          </w:p>
        </w:tc>
      </w:tr>
      <w:tr>
        <w:tc>
          <w:tcPr>
            <w:tcW w:type="dxa" w:w="2880"/>
          </w:tcPr>
          <w:p>
            <w:r>
              <w:t>Caution</w:t>
            </w:r>
          </w:p>
        </w:tc>
        <w:tc>
          <w:tcPr>
            <w:tcW w:type="dxa" w:w="6480"/>
          </w:tcPr>
          <w:p>
            <w:r>
              <w:t>Ra 70–79 (non-critical areas only).</w:t>
            </w:r>
          </w:p>
        </w:tc>
      </w:tr>
    </w:tbl>
    <w:p>
      <w:pPr>
        <w:pStyle w:val="H1"/>
      </w:pPr>
      <w:r>
        <w:t>Biological Effects</w:t>
      </w:r>
    </w:p>
    <w:p>
      <w:pPr>
        <w:pStyle w:val="H2"/>
      </w:pPr>
      <w:r>
        <w:t>Hormones (Endocrine)</w:t>
      </w:r>
    </w:p>
    <w:p>
      <w:pPr>
        <w:pStyle w:val="Bullet"/>
      </w:pPr>
      <w:r>
        <w:t>Indirect effect: poor fidelity → visual discomfort/strain → sympathetic &amp; HPA activation → cortisol↑ in susceptible students.</w:t>
      </w:r>
    </w:p>
    <w:p>
      <w:pPr>
        <w:pStyle w:val="H2"/>
      </w:pPr>
      <w:r>
        <w:t>Skin (Photobiology &amp; Peripheral Clocks)</w:t>
      </w:r>
    </w:p>
    <w:p>
      <w:pPr>
        <w:pStyle w:val="Bullet"/>
      </w:pPr>
      <w:r>
        <w:t>No direct biochemical change; CRI is a fidelity metric, not dose of wavelengths.</w:t>
      </w:r>
    </w:p>
    <w:p>
      <w:pPr>
        <w:pStyle w:val="H2"/>
      </w:pPr>
      <w:r>
        <w:t>Nervous System (ipRGC → SCN → CNS)</w:t>
      </w:r>
    </w:p>
    <w:p>
      <w:pPr>
        <w:pStyle w:val="Bullet"/>
      </w:pPr>
      <w:r>
        <w:t>Spectral gaps that degrade color constancy increase cortical load (V1/V4), promoting fatigue and reduced attention.</w:t>
      </w:r>
    </w:p>
    <w:p>
      <w:pPr>
        <w:pStyle w:val="H1"/>
      </w:pPr>
      <w:r>
        <w:t>Biochemical Pathways (Mechanistic Detail)</w:t>
      </w:r>
    </w:p>
    <w:p>
      <w:pPr>
        <w:pStyle w:val="Bullet"/>
      </w:pPr>
      <w:r>
        <w:t>Visual strain → sympathetic output (NE/Epi) → co-activates HPA (CRH→ACTH→cortisol).</w:t>
      </w:r>
    </w:p>
    <w:p>
      <w:pPr>
        <w:pStyle w:val="Bullet"/>
      </w:pPr>
      <w:r>
        <w:t>Retinal glutamate demand ↑ under difficult perception → ATP use and oxidative stress risk ↑.</w:t>
      </w:r>
    </w:p>
    <w:p>
      <w:pPr>
        <w:pStyle w:val="H1"/>
      </w:pPr>
      <w:r>
        <w:t>Classroom Recommendations</w:t>
      </w:r>
    </w:p>
    <w:p>
      <w:pPr>
        <w:pStyle w:val="Bullet"/>
      </w:pPr>
      <w:r>
        <w:t>Specify Ra ≥80 for classrooms; ≥90 for labs/art.</w:t>
      </w:r>
    </w:p>
    <w:p>
      <w:pPr>
        <w:pStyle w:val="Bullet"/>
      </w:pPr>
      <w:r>
        <w:t>Avoid spectra with deep troughs affecting educational materials and skin tones.</w:t>
      </w:r>
    </w:p>
    <w:p>
      <w:pPr>
        <w:pStyle w:val="H1"/>
      </w:pPr>
      <w:r>
        <w:t>Quick Checklist</w:t>
      </w:r>
    </w:p>
    <w:p>
      <w:pPr>
        <w:pStyle w:val="Bullet"/>
      </w:pPr>
      <w:r>
        <w:t>CRI verified in luminaire data.</w:t>
      </w:r>
    </w:p>
    <w:p>
      <w:pPr>
        <w:pStyle w:val="Bullet"/>
      </w:pPr>
      <w:r>
        <w:t>Spot-check color charts at desk level.</w:t>
      </w:r>
    </w:p>
    <w:p>
      <w:pPr>
        <w:pStyle w:val="H1"/>
      </w:pPr>
      <w:r>
        <w:t>References</w:t>
      </w:r>
    </w:p>
    <w:p>
      <w:pPr>
        <w:pStyle w:val="Bullet"/>
      </w:pPr>
      <w:r>
        <w:t>EN 12464-1 — Indoor workplaces (CRI guidance).</w:t>
      </w:r>
    </w:p>
    <w:p>
      <w:pPr>
        <w:pStyle w:val="Bullet"/>
      </w:pPr>
      <w:r>
        <w:t>Visual strain literature related to low-fidelity spectra.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Large">
    <w:name w:val="TitleLarge"/>
    <w:basedOn w:val="Title"/>
    <w:rPr>
      <w:rFonts w:ascii="Calibri" w:hAnsi="Calibri"/>
      <w:b/>
      <w:sz w:val="56"/>
    </w:rPr>
  </w:style>
  <w:style w:type="paragraph" w:customStyle="1" w:styleId="H1">
    <w:name w:val="H1"/>
    <w:basedOn w:val="Heading1"/>
    <w:rPr>
      <w:rFonts w:ascii="Calibri" w:hAnsi="Calibri"/>
      <w:b/>
      <w:sz w:val="36"/>
    </w:rPr>
  </w:style>
  <w:style w:type="paragraph" w:customStyle="1" w:styleId="H2">
    <w:name w:val="H2"/>
    <w:basedOn w:val="Heading2"/>
    <w:rPr>
      <w:rFonts w:ascii="Calibri" w:hAnsi="Calibri"/>
      <w:b/>
      <w:sz w:val="28"/>
    </w:rPr>
  </w:style>
  <w:style w:type="paragraph" w:customStyle="1" w:styleId="Body">
    <w:name w:val="Body"/>
    <w:basedOn w:val="Normal"/>
    <w:rPr>
      <w:rFonts w:ascii="Calibri" w:hAnsi="Calibri"/>
      <w:sz w:val="22"/>
    </w:rPr>
  </w:style>
  <w:style w:type="paragraph" w:customStyle="1" w:styleId="Bullet">
    <w:name w:val="Bullet"/>
    <w:basedOn w:val="ListBullet"/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