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Large"/>
        <w:jc w:val="center"/>
      </w:pPr>
      <w:r>
        <w:t>Flicker — Temporal Light Modulation</w:t>
      </w:r>
    </w:p>
    <w:p>
      <w:pPr>
        <w:pStyle w:val="Body"/>
        <w:jc w:val="center"/>
      </w:pPr>
      <w:r>
        <w:t>Invisible flicker, comfort, and neural excitability</w:t>
      </w:r>
    </w:p>
    <w:p>
      <w:pPr>
        <w:pStyle w:val="H1"/>
      </w:pPr>
      <w:r>
        <w:t>Definition</w:t>
      </w:r>
    </w:p>
    <w:p>
      <w:pPr>
        <w:pStyle w:val="Body"/>
      </w:pPr>
      <w:r>
        <w:t>Variation of light output over time; described by modulation %, frequency, and waveform. Can be imperceptible yet biologically active.</w:t>
      </w:r>
    </w:p>
    <w:p>
      <w:pPr>
        <w:pStyle w:val="H1"/>
      </w:pPr>
      <w:r>
        <w:t>Recommended Ranges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2880"/>
          </w:tcPr>
          <w:p>
            <w:r>
              <w:t>Optimal</w:t>
            </w:r>
          </w:p>
        </w:tc>
        <w:tc>
          <w:tcPr>
            <w:tcW w:type="dxa" w:w="6480"/>
          </w:tcPr>
          <w:p>
            <w:r>
              <w:t>Percent modulation ≤5% across occupied dimming range; avoid low fundamentals.</w:t>
            </w:r>
          </w:p>
        </w:tc>
      </w:tr>
      <w:tr>
        <w:tc>
          <w:tcPr>
            <w:tcW w:type="dxa" w:w="2880"/>
          </w:tcPr>
          <w:p>
            <w:r>
              <w:t>Caution</w:t>
            </w:r>
          </w:p>
        </w:tc>
        <w:tc>
          <w:tcPr>
            <w:tcW w:type="dxa" w:w="6480"/>
          </w:tcPr>
          <w:p>
            <w:r>
              <w:t>5–20% or fundamentals &lt;100 Hz; evaluate stroboscopic risk.</w:t>
            </w:r>
          </w:p>
        </w:tc>
      </w:tr>
    </w:tbl>
    <w:p>
      <w:pPr>
        <w:pStyle w:val="H1"/>
      </w:pPr>
      <w:r>
        <w:t>Biological Effects</w:t>
      </w:r>
    </w:p>
    <w:p>
      <w:pPr>
        <w:pStyle w:val="H2"/>
      </w:pPr>
      <w:r>
        <w:t>Hormones (Endocrine)</w:t>
      </w:r>
    </w:p>
    <w:p>
      <w:pPr>
        <w:pStyle w:val="Bullet"/>
      </w:pPr>
      <w:r>
        <w:t>Discomfort/stress from flicker → ↑ ACTH → cortisol↑; chronic exposure may destabilize HPA in sensitive individuals.</w:t>
      </w:r>
    </w:p>
    <w:p>
      <w:pPr>
        <w:pStyle w:val="H2"/>
      </w:pPr>
      <w:r>
        <w:t>Skin (Photobiology &amp; Peripheral Clocks)</w:t>
      </w:r>
    </w:p>
    <w:p>
      <w:pPr>
        <w:pStyle w:val="Bullet"/>
      </w:pPr>
      <w:r>
        <w:t>No direct photochemical effect at classroom intensities.</w:t>
      </w:r>
    </w:p>
    <w:p>
      <w:pPr>
        <w:pStyle w:val="H2"/>
      </w:pPr>
      <w:r>
        <w:t>Nervous System (ipRGC → SCN → CNS)</w:t>
      </w:r>
    </w:p>
    <w:p>
      <w:pPr>
        <w:pStyle w:val="Bullet"/>
      </w:pPr>
      <w:r>
        <w:t>Low-frequency components can entrain abnormal cortical rhythms; trigger migraines/photosensitive seizures in vulnerable populations.</w:t>
      </w:r>
    </w:p>
    <w:p>
      <w:pPr>
        <w:pStyle w:val="Bullet"/>
      </w:pPr>
      <w:r>
        <w:t>Raises saccadic suppression demand → eye strain, headaches, reduced reading endurance.</w:t>
      </w:r>
    </w:p>
    <w:p>
      <w:pPr>
        <w:pStyle w:val="H1"/>
      </w:pPr>
      <w:r>
        <w:t>Biochemical Pathways (Mechanistic Detail)</w:t>
      </w:r>
    </w:p>
    <w:p>
      <w:pPr>
        <w:pStyle w:val="Bullet"/>
      </w:pPr>
      <w:r>
        <w:t>Repetitive drive → glutamatergic overactivation in visual cortex; excitotoxic susceptibility increases.</w:t>
      </w:r>
    </w:p>
    <w:p>
      <w:pPr>
        <w:pStyle w:val="Bullet"/>
      </w:pPr>
      <w:r>
        <w:t>Arousal circuits: locus coeruleus NE↑; HPA axis activation (CRH→ACTH→cortisol).</w:t>
      </w:r>
    </w:p>
    <w:p>
      <w:pPr>
        <w:pStyle w:val="H1"/>
      </w:pPr>
      <w:r>
        <w:t>Classroom Recommendations</w:t>
      </w:r>
    </w:p>
    <w:p>
      <w:pPr>
        <w:pStyle w:val="Bullet"/>
      </w:pPr>
      <w:r>
        <w:t>Specify drivers compliant with IEEE 1789; check flicker at multiple dim levels.</w:t>
      </w:r>
    </w:p>
    <w:p>
      <w:pPr>
        <w:pStyle w:val="Bullet"/>
      </w:pPr>
      <w:r>
        <w:t>Test under mains variation; avoid deep PWM at low frequencies.</w:t>
      </w:r>
    </w:p>
    <w:p>
      <w:pPr>
        <w:pStyle w:val="H1"/>
      </w:pPr>
      <w:r>
        <w:t>Quick Checklist</w:t>
      </w:r>
    </w:p>
    <w:p>
      <w:pPr>
        <w:pStyle w:val="Bullet"/>
      </w:pPr>
      <w:r>
        <w:t>Percent modulation and/or short-range index documented.</w:t>
      </w:r>
    </w:p>
    <w:p>
      <w:pPr>
        <w:pStyle w:val="Bullet"/>
      </w:pPr>
      <w:r>
        <w:t>No visible stroboscopic artifacts with moving objects.</w:t>
      </w:r>
    </w:p>
    <w:p>
      <w:pPr>
        <w:pStyle w:val="H1"/>
      </w:pPr>
      <w:r>
        <w:t>References</w:t>
      </w:r>
    </w:p>
    <w:p>
      <w:pPr>
        <w:pStyle w:val="Bullet"/>
      </w:pPr>
      <w:r>
        <w:t>IEEE 1789 — Recommended practice for LED modulation (flicker).</w:t>
      </w:r>
    </w:p>
    <w:p>
      <w:pPr>
        <w:pStyle w:val="Bullet"/>
      </w:pPr>
      <w:r>
        <w:t>Clinical literature on photosensitive epilepsy/migraine triggers.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Large">
    <w:name w:val="TitleLarge"/>
    <w:basedOn w:val="Title"/>
    <w:rPr>
      <w:rFonts w:ascii="Calibri" w:hAnsi="Calibri"/>
      <w:b/>
      <w:sz w:val="56"/>
    </w:rPr>
  </w:style>
  <w:style w:type="paragraph" w:customStyle="1" w:styleId="H1">
    <w:name w:val="H1"/>
    <w:basedOn w:val="Heading1"/>
    <w:rPr>
      <w:rFonts w:ascii="Calibri" w:hAnsi="Calibri"/>
      <w:b/>
      <w:sz w:val="36"/>
    </w:rPr>
  </w:style>
  <w:style w:type="paragraph" w:customStyle="1" w:styleId="H2">
    <w:name w:val="H2"/>
    <w:basedOn w:val="Heading2"/>
    <w:rPr>
      <w:rFonts w:ascii="Calibri" w:hAnsi="Calibri"/>
      <w:b/>
      <w:sz w:val="28"/>
    </w:rPr>
  </w:style>
  <w:style w:type="paragraph" w:customStyle="1" w:styleId="Body">
    <w:name w:val="Body"/>
    <w:basedOn w:val="Normal"/>
    <w:rPr>
      <w:rFonts w:ascii="Calibri" w:hAnsi="Calibri"/>
      <w:sz w:val="22"/>
    </w:rPr>
  </w:style>
  <w:style w:type="paragraph" w:customStyle="1" w:styleId="Bullet">
    <w:name w:val="Bullet"/>
    <w:basedOn w:val="ListBullet"/>
    <w:rPr>
      <w:rFonts w:ascii="Calibri" w:hAnsi="Calibri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