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Large"/>
        <w:jc w:val="center"/>
      </w:pPr>
      <w:r>
        <w:t>Glare — Unified Glare Rating (UGR)</w:t>
      </w:r>
    </w:p>
    <w:p>
      <w:pPr>
        <w:pStyle w:val="Body"/>
        <w:jc w:val="center"/>
      </w:pPr>
      <w:r>
        <w:t>Discomfort, visual fatigue, and stress pathways</w:t>
      </w:r>
    </w:p>
    <w:p>
      <w:pPr>
        <w:pStyle w:val="H1"/>
      </w:pPr>
      <w:r>
        <w:t>Definition</w:t>
      </w:r>
    </w:p>
    <w:p>
      <w:pPr>
        <w:pStyle w:val="Body"/>
      </w:pPr>
      <w:r>
        <w:t>Discomfort arising from high luminance contrasts within the field of view, predicted by UGR (source luminance, position, background).</w:t>
      </w:r>
    </w:p>
    <w:p>
      <w:pPr>
        <w:pStyle w:val="H1"/>
      </w:pPr>
      <w:r>
        <w:t>Recommended Ranges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Optimal</w:t>
            </w:r>
          </w:p>
        </w:tc>
        <w:tc>
          <w:tcPr>
            <w:tcW w:type="dxa" w:w="6480"/>
          </w:tcPr>
          <w:p>
            <w:r>
              <w:t>UGR ≤19 (classrooms).</w:t>
            </w:r>
          </w:p>
        </w:tc>
      </w:tr>
      <w:tr>
        <w:tc>
          <w:tcPr>
            <w:tcW w:type="dxa" w:w="2880"/>
          </w:tcPr>
          <w:p>
            <w:r>
              <w:t>Caution</w:t>
            </w:r>
          </w:p>
        </w:tc>
        <w:tc>
          <w:tcPr>
            <w:tcW w:type="dxa" w:w="6480"/>
          </w:tcPr>
          <w:p>
            <w:r>
              <w:t>UGR 19–22 (caution), &gt;22 (avoid).</w:t>
            </w:r>
          </w:p>
        </w:tc>
      </w:tr>
    </w:tbl>
    <w:p>
      <w:pPr>
        <w:pStyle w:val="H1"/>
      </w:pPr>
      <w:r>
        <w:t>Biological Effects</w:t>
      </w:r>
    </w:p>
    <w:p>
      <w:pPr>
        <w:pStyle w:val="H2"/>
      </w:pPr>
      <w:r>
        <w:t>Hormones (Endocrine)</w:t>
      </w:r>
    </w:p>
    <w:p>
      <w:pPr>
        <w:pStyle w:val="Bullet"/>
      </w:pPr>
      <w:r>
        <w:t>Persistent discomfort → sympathetic activation and HPA upregulation → cortisol↑.</w:t>
      </w:r>
    </w:p>
    <w:p>
      <w:pPr>
        <w:pStyle w:val="H2"/>
      </w:pPr>
      <w:r>
        <w:t>Skin (Photobiology &amp; Peripheral Clocks)</w:t>
      </w:r>
    </w:p>
    <w:p>
      <w:pPr>
        <w:pStyle w:val="Bullet"/>
      </w:pPr>
      <w:r>
        <w:t>No direct skin effect.</w:t>
      </w:r>
    </w:p>
    <w:p>
      <w:pPr>
        <w:pStyle w:val="H2"/>
      </w:pPr>
      <w:r>
        <w:t>Nervous System (ipRGC → SCN → CNS)</w:t>
      </w:r>
    </w:p>
    <w:p>
      <w:pPr>
        <w:pStyle w:val="Bullet"/>
      </w:pPr>
      <w:r>
        <w:t>Retinal overstimulation → glutamate↑ → visual fatigue/headaches.</w:t>
      </w:r>
    </w:p>
    <w:p>
      <w:pPr>
        <w:pStyle w:val="Bullet"/>
      </w:pPr>
      <w:r>
        <w:t>Attention fragmentation from bright sources → working-memory efficiency↓.</w:t>
      </w:r>
    </w:p>
    <w:p>
      <w:pPr>
        <w:pStyle w:val="H1"/>
      </w:pPr>
      <w:r>
        <w:t>Biochemical Pathways (Mechanistic Detail)</w:t>
      </w:r>
    </w:p>
    <w:p>
      <w:pPr>
        <w:pStyle w:val="Bullet"/>
      </w:pPr>
      <w:r>
        <w:t>Aversive visual input engages limbic pathways (amygdala) → HPA activation.</w:t>
      </w:r>
    </w:p>
    <w:p>
      <w:pPr>
        <w:pStyle w:val="Bullet"/>
      </w:pPr>
      <w:r>
        <w:t>Photoreceptor bleaching/recovery cycles raise mitochondrial ROS; antioxidants (SOD, catalase) taxed.</w:t>
      </w:r>
    </w:p>
    <w:p>
      <w:pPr>
        <w:pStyle w:val="H1"/>
      </w:pPr>
      <w:r>
        <w:t>Classroom Recommendations</w:t>
      </w:r>
    </w:p>
    <w:p>
      <w:pPr>
        <w:pStyle w:val="Bullet"/>
      </w:pPr>
      <w:r>
        <w:t>Use diffusers/microprismatic optics; avoid direct view of high-luminance emitters.</w:t>
      </w:r>
    </w:p>
    <w:p>
      <w:pPr>
        <w:pStyle w:val="Bullet"/>
      </w:pPr>
      <w:r>
        <w:t>Control reflected glare on boards/screens; coordinate luminance and CCT.</w:t>
      </w:r>
    </w:p>
    <w:p>
      <w:pPr>
        <w:pStyle w:val="H1"/>
      </w:pPr>
      <w:r>
        <w:t>Quick Checklist</w:t>
      </w:r>
    </w:p>
    <w:p>
      <w:pPr>
        <w:pStyle w:val="Bullet"/>
      </w:pPr>
      <w:r>
        <w:t>UGR verified in lighting calc.</w:t>
      </w:r>
    </w:p>
    <w:p>
      <w:pPr>
        <w:pStyle w:val="Bullet"/>
      </w:pPr>
      <w:r>
        <w:t>Check reflections from whiteboards and displays at student eye positions.</w:t>
      </w:r>
    </w:p>
    <w:p>
      <w:pPr>
        <w:pStyle w:val="H1"/>
      </w:pPr>
      <w:r>
        <w:t>References</w:t>
      </w:r>
    </w:p>
    <w:p>
      <w:pPr>
        <w:pStyle w:val="Bullet"/>
      </w:pPr>
      <w:r>
        <w:t>EN 12464-1 / CIBSE LG — Glare limits.</w:t>
      </w:r>
    </w:p>
    <w:p>
      <w:pPr>
        <w:pStyle w:val="Bullet"/>
      </w:pPr>
      <w:r>
        <w:t>Studies linking glare to visual fatigue and task errors.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Large">
    <w:name w:val="TitleLarge"/>
    <w:basedOn w:val="Title"/>
    <w:rPr>
      <w:rFonts w:ascii="Calibri" w:hAnsi="Calibri"/>
      <w:b/>
      <w:sz w:val="56"/>
    </w:rPr>
  </w:style>
  <w:style w:type="paragraph" w:customStyle="1" w:styleId="H1">
    <w:name w:val="H1"/>
    <w:basedOn w:val="Heading1"/>
    <w:rPr>
      <w:rFonts w:ascii="Calibri" w:hAnsi="Calibri"/>
      <w:b/>
      <w:sz w:val="36"/>
    </w:rPr>
  </w:style>
  <w:style w:type="paragraph" w:customStyle="1" w:styleId="H2">
    <w:name w:val="H2"/>
    <w:basedOn w:val="Heading2"/>
    <w:rPr>
      <w:rFonts w:ascii="Calibri" w:hAnsi="Calibri"/>
      <w:b/>
      <w:sz w:val="28"/>
    </w:rPr>
  </w:style>
  <w:style w:type="paragraph" w:customStyle="1" w:styleId="Body">
    <w:name w:val="Body"/>
    <w:basedOn w:val="Normal"/>
    <w:rPr>
      <w:rFonts w:ascii="Calibri" w:hAnsi="Calibri"/>
      <w:sz w:val="22"/>
    </w:rPr>
  </w:style>
  <w:style w:type="paragraph" w:customStyle="1" w:styleId="Bullet">
    <w:name w:val="Bullet"/>
    <w:basedOn w:val="ListBullet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