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Large"/>
        <w:jc w:val="center"/>
      </w:pPr>
      <w:r>
        <w:t>Horizontal Illuminance — Desk/Task (lx)</w:t>
      </w:r>
    </w:p>
    <w:p>
      <w:pPr>
        <w:pStyle w:val="Body"/>
        <w:jc w:val="center"/>
      </w:pPr>
      <w:r>
        <w:t>Visual performance and non-visual support</w:t>
      </w:r>
    </w:p>
    <w:p>
      <w:pPr>
        <w:pStyle w:val="H1"/>
      </w:pPr>
      <w:r>
        <w:t>Definition</w:t>
      </w:r>
    </w:p>
    <w:p>
      <w:pPr>
        <w:pStyle w:val="Body"/>
      </w:pPr>
      <w:r>
        <w:t>Illuminance on the working plane (desks). Adequate levels support reading speed, error reduction, and comfort.</w:t>
      </w:r>
    </w:p>
    <w:p>
      <w:pPr>
        <w:pStyle w:val="H1"/>
      </w:pPr>
      <w:r>
        <w:t>Recommended Ranges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Optimal</w:t>
            </w:r>
          </w:p>
        </w:tc>
        <w:tc>
          <w:tcPr>
            <w:tcW w:type="dxa" w:w="6480"/>
          </w:tcPr>
          <w:p>
            <w:r>
              <w:t>300–500 lx general classrooms; 750–1000 lx short-term exams/labs (with glare control).</w:t>
            </w:r>
          </w:p>
        </w:tc>
      </w:tr>
      <w:tr>
        <w:tc>
          <w:tcPr>
            <w:tcW w:type="dxa" w:w="2880"/>
          </w:tcPr>
          <w:p>
            <w:r>
              <w:t>Caution</w:t>
            </w:r>
          </w:p>
        </w:tc>
        <w:tc>
          <w:tcPr>
            <w:tcW w:type="dxa" w:w="6480"/>
          </w:tcPr>
          <w:p>
            <w:r>
              <w:t>200–299 lx (strain risk); &gt;1000 lx (glare if uncontrolled).</w:t>
            </w:r>
          </w:p>
        </w:tc>
      </w:tr>
    </w:tbl>
    <w:p>
      <w:pPr>
        <w:pStyle w:val="H1"/>
      </w:pPr>
      <w:r>
        <w:t>Biological Effects</w:t>
      </w:r>
    </w:p>
    <w:p>
      <w:pPr>
        <w:pStyle w:val="H2"/>
      </w:pPr>
      <w:r>
        <w:t>Hormones (Endocrine)</w:t>
      </w:r>
    </w:p>
    <w:p>
      <w:pPr>
        <w:pStyle w:val="Bullet"/>
      </w:pPr>
      <w:r>
        <w:t>Higher daytime illuminance → stronger ipRGC drive → melatonin suppression; supports morning cortisol amplitude.</w:t>
      </w:r>
    </w:p>
    <w:p>
      <w:pPr>
        <w:pStyle w:val="Bullet"/>
      </w:pPr>
      <w:r>
        <w:t>Adequate light supports serotonin turnover and overall mood/attention.</w:t>
      </w:r>
    </w:p>
    <w:p>
      <w:pPr>
        <w:pStyle w:val="H2"/>
      </w:pPr>
      <w:r>
        <w:t>Skin (Photobiology &amp; Peripheral Clocks)</w:t>
      </w:r>
    </w:p>
    <w:p>
      <w:pPr>
        <w:pStyle w:val="Bullet"/>
      </w:pPr>
      <w:r>
        <w:t>Indoor electric light (no UVB) → negligible vitamin D effect.</w:t>
      </w:r>
    </w:p>
    <w:p>
      <w:pPr>
        <w:pStyle w:val="H2"/>
      </w:pPr>
      <w:r>
        <w:t>Nervous System (ipRGC → SCN → CNS)</w:t>
      </w:r>
    </w:p>
    <w:p>
      <w:pPr>
        <w:pStyle w:val="Bullet"/>
      </w:pPr>
      <w:r>
        <w:t>Greater retinal drive → SCN stability → improved vigilance and executive function.</w:t>
      </w:r>
    </w:p>
    <w:p>
      <w:pPr>
        <w:pStyle w:val="Bullet"/>
      </w:pPr>
      <w:r>
        <w:t>Supports prefrontal dopamine tone, reducing errors and enhancing working memory.</w:t>
      </w:r>
    </w:p>
    <w:p>
      <w:pPr>
        <w:pStyle w:val="H1"/>
      </w:pPr>
      <w:r>
        <w:t>Biochemical Pathways (Mechanistic Detail)</w:t>
      </w:r>
    </w:p>
    <w:p>
      <w:pPr>
        <w:pStyle w:val="Bullet"/>
      </w:pPr>
      <w:r>
        <w:t>ipRGC glutamate/PACAP → NMDA-Ca²⁺→CREB→Per gene expression; SCN synchronizes peripheral clocks via AVP/VIP/GABA.</w:t>
      </w:r>
    </w:p>
    <w:p>
      <w:pPr>
        <w:pStyle w:val="Bullet"/>
      </w:pPr>
      <w:r>
        <w:t>Daylight components (when present) further reinforce circadian amplitude.</w:t>
      </w:r>
    </w:p>
    <w:p>
      <w:pPr>
        <w:pStyle w:val="H1"/>
      </w:pPr>
      <w:r>
        <w:t>Classroom Recommendations</w:t>
      </w:r>
    </w:p>
    <w:p>
      <w:pPr>
        <w:pStyle w:val="Bullet"/>
      </w:pPr>
      <w:r>
        <w:t>Design for 300–500 lx at desks with uniformity ≥0.6.</w:t>
      </w:r>
    </w:p>
    <w:p>
      <w:pPr>
        <w:pStyle w:val="Bullet"/>
      </w:pPr>
      <w:r>
        <w:t>Use boost scenes (750–1000 lx) for exams; manage glare and flicker.</w:t>
      </w:r>
    </w:p>
    <w:p>
      <w:pPr>
        <w:pStyle w:val="H1"/>
      </w:pPr>
      <w:r>
        <w:t>Quick Checklist</w:t>
      </w:r>
    </w:p>
    <w:p>
      <w:pPr>
        <w:pStyle w:val="Bullet"/>
      </w:pPr>
      <w:r>
        <w:t>Lux measured across multiple desks and rows.</w:t>
      </w:r>
    </w:p>
    <w:p>
      <w:pPr>
        <w:pStyle w:val="Bullet"/>
      </w:pPr>
      <w:r>
        <w:t>Uniformity and contrast to board verified.</w:t>
      </w:r>
    </w:p>
    <w:p>
      <w:pPr>
        <w:pStyle w:val="H1"/>
      </w:pPr>
      <w:r>
        <w:t>References</w:t>
      </w:r>
    </w:p>
    <w:p>
      <w:pPr>
        <w:pStyle w:val="Bullet"/>
      </w:pPr>
      <w:r>
        <w:t>EN 12464-1 — Classroom illuminance and uniformity.</w:t>
      </w:r>
    </w:p>
    <w:p>
      <w:pPr>
        <w:pStyle w:val="Bullet"/>
      </w:pPr>
      <w:r>
        <w:t>Park et al. — Illuminance and alertness/performance.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Large">
    <w:name w:val="TitleLarge"/>
    <w:basedOn w:val="Title"/>
    <w:rPr>
      <w:rFonts w:ascii="Calibri" w:hAnsi="Calibri"/>
      <w:b/>
      <w:sz w:val="56"/>
    </w:rPr>
  </w:style>
  <w:style w:type="paragraph" w:customStyle="1" w:styleId="H1">
    <w:name w:val="H1"/>
    <w:basedOn w:val="Heading1"/>
    <w:rPr>
      <w:rFonts w:ascii="Calibri" w:hAnsi="Calibri"/>
      <w:b/>
      <w:sz w:val="36"/>
    </w:rPr>
  </w:style>
  <w:style w:type="paragraph" w:customStyle="1" w:styleId="H2">
    <w:name w:val="H2"/>
    <w:basedOn w:val="Heading2"/>
    <w:rPr>
      <w:rFonts w:ascii="Calibri" w:hAnsi="Calibri"/>
      <w:b/>
      <w:sz w:val="28"/>
    </w:rPr>
  </w:style>
  <w:style w:type="paragraph" w:customStyle="1" w:styleId="Body">
    <w:name w:val="Body"/>
    <w:basedOn w:val="Normal"/>
    <w:rPr>
      <w:rFonts w:ascii="Calibri" w:hAnsi="Calibri"/>
      <w:sz w:val="22"/>
    </w:rPr>
  </w:style>
  <w:style w:type="paragraph" w:customStyle="1" w:styleId="Bullet">
    <w:name w:val="Bullet"/>
    <w:basedOn w:val="ListBullet"/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