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Vertical Illuminance — Eye-Level (lx)</w:t>
      </w:r>
    </w:p>
    <w:p>
      <w:pPr>
        <w:pStyle w:val="Body"/>
        <w:jc w:val="center"/>
      </w:pPr>
      <w:r>
        <w:t>The better proxy for circadian stimulus</w:t>
      </w:r>
    </w:p>
    <w:p>
      <w:pPr>
        <w:pStyle w:val="H1"/>
      </w:pPr>
      <w:r>
        <w:t>Definition</w:t>
      </w:r>
    </w:p>
    <w:p>
      <w:pPr>
        <w:pStyle w:val="Body"/>
      </w:pPr>
      <w:r>
        <w:t>Illuminance on a vertical plane at eye height; more predictive of non-visual responses than horizontal lux.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300–500 lx vertical (daytime).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200–299 lx (weak circadian drive); &gt;800 lx (check glare/UGR).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Adequate vertical light efficiently suppresses melatonin by day; supports robust cortisol rhythm.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Minimal direct effect absent UV; effects are retinally mediated.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Triggers c-Fos in SCN; resets molecular clock (CLOCK/BMAL1→PER/CRY).</w:t>
      </w:r>
    </w:p>
    <w:p>
      <w:pPr>
        <w:pStyle w:val="Bullet"/>
      </w:pPr>
      <w:r>
        <w:t>Enhances locus coeruleus and basal forebrain activity → alertness, memory encoding.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Light pulses → NMDA-dependent Ca²⁺ influx → CREB → Per1/Per2 expression → phase adjustment.</w:t>
      </w:r>
    </w:p>
    <w:p>
      <w:pPr>
        <w:pStyle w:val="Bullet"/>
      </w:pPr>
      <w:r>
        <w:t>SCN outputs modulate pineal AANAT via sympathetic chain.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Measure vertical lx at student eye positions across the room.</w:t>
      </w:r>
    </w:p>
    <w:p>
      <w:pPr>
        <w:pStyle w:val="Bullet"/>
      </w:pPr>
      <w:r>
        <w:t>Combine with spectral tuning to meet melanopic targets (see mEDI).</w:t>
      </w:r>
    </w:p>
    <w:p>
      <w:pPr>
        <w:pStyle w:val="H1"/>
      </w:pPr>
      <w:r>
        <w:t>Quick Checklist</w:t>
      </w:r>
    </w:p>
    <w:p>
      <w:pPr>
        <w:pStyle w:val="Bullet"/>
      </w:pPr>
      <w:r>
        <w:t>Vertical lx verified during morning hours.</w:t>
      </w:r>
    </w:p>
    <w:p>
      <w:pPr>
        <w:pStyle w:val="Bullet"/>
      </w:pPr>
      <w:r>
        <w:t>No direct view of high-luminance sources.</w:t>
      </w:r>
    </w:p>
    <w:p>
      <w:pPr>
        <w:pStyle w:val="H1"/>
      </w:pPr>
      <w:r>
        <w:t>References</w:t>
      </w:r>
    </w:p>
    <w:p>
      <w:pPr>
        <w:pStyle w:val="Bullet"/>
      </w:pPr>
      <w:r>
        <w:t>WELL Building Standard — Vertical light at eye guidance.</w:t>
      </w:r>
    </w:p>
    <w:p>
      <w:pPr>
        <w:pStyle w:val="Bullet"/>
      </w:pPr>
      <w:r>
        <w:t>Brown TM et al. (2022) — Circadian-relevant measures.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