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Large"/>
        <w:jc w:val="center"/>
      </w:pPr>
      <w:r>
        <w:t>Melanopic EDI — Equivalent Daylight Illuminance (melanopic lux)</w:t>
      </w:r>
    </w:p>
    <w:p>
      <w:pPr>
        <w:pStyle w:val="Body"/>
        <w:jc w:val="center"/>
      </w:pPr>
      <w:r>
        <w:t>Spectrally weighted metric for ipRGC stimulus</w:t>
      </w:r>
    </w:p>
    <w:p>
      <w:pPr>
        <w:pStyle w:val="H1"/>
      </w:pPr>
      <w:r>
        <w:t>Definition</w:t>
      </w:r>
    </w:p>
    <w:p>
      <w:pPr>
        <w:pStyle w:val="Body"/>
      </w:pPr>
      <w:r>
        <w:t>Photometric metric weighted to melanopsin sensitivity; better predictor of circadian/non-visual effects than photopic lux alone.</w:t>
      </w:r>
    </w:p>
    <w:p>
      <w:pPr>
        <w:pStyle w:val="H1"/>
      </w:pPr>
      <w:r>
        <w:t>Recommended Ranges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Optimal</w:t>
            </w:r>
          </w:p>
        </w:tc>
        <w:tc>
          <w:tcPr>
            <w:tcW w:type="dxa" w:w="6480"/>
          </w:tcPr>
          <w:p>
            <w:r>
              <w:t>≥250–500 melanopic lx for students during daytime (especially morning).</w:t>
            </w:r>
          </w:p>
        </w:tc>
      </w:tr>
      <w:tr>
        <w:tc>
          <w:tcPr>
            <w:tcW w:type="dxa" w:w="2880"/>
          </w:tcPr>
          <w:p>
            <w:r>
              <w:t>Caution</w:t>
            </w:r>
          </w:p>
        </w:tc>
        <w:tc>
          <w:tcPr>
            <w:tcW w:type="dxa" w:w="6480"/>
          </w:tcPr>
          <w:p>
            <w:r>
              <w:t>100–249 mEDI (weak); &lt;100 mEDI (insufficient).</w:t>
            </w:r>
          </w:p>
        </w:tc>
      </w:tr>
    </w:tbl>
    <w:p>
      <w:pPr>
        <w:pStyle w:val="H1"/>
      </w:pPr>
      <w:r>
        <w:t>Biological Effects</w:t>
      </w:r>
    </w:p>
    <w:p>
      <w:pPr>
        <w:pStyle w:val="H2"/>
      </w:pPr>
      <w:r>
        <w:t>Hormones (Endocrine)</w:t>
      </w:r>
    </w:p>
    <w:p>
      <w:pPr>
        <w:pStyle w:val="Bullet"/>
      </w:pPr>
      <w:r>
        <w:t>Daytime ≥250 mEDI → robust melatonin suppression and entrainment; supports morning cortisol peak.</w:t>
      </w:r>
    </w:p>
    <w:p>
      <w:pPr>
        <w:pStyle w:val="Bullet"/>
      </w:pPr>
      <w:r>
        <w:t>Daytime light improves serotonin availability (precursor to nocturnal melatonin).</w:t>
      </w:r>
    </w:p>
    <w:p>
      <w:pPr>
        <w:pStyle w:val="H2"/>
      </w:pPr>
      <w:r>
        <w:t>Skin (Photobiology &amp; Peripheral Clocks)</w:t>
      </w:r>
    </w:p>
    <w:p>
      <w:pPr>
        <w:pStyle w:val="Bullet"/>
      </w:pPr>
      <w:r>
        <w:t>Skin opsins (e.g., OPN5) may align local circadian rhythms; systemic hormonal impact mostly retinally mediated.</w:t>
      </w:r>
    </w:p>
    <w:p>
      <w:pPr>
        <w:pStyle w:val="H2"/>
      </w:pPr>
      <w:r>
        <w:t>Nervous System (ipRGC → SCN → CNS)</w:t>
      </w:r>
    </w:p>
    <w:p>
      <w:pPr>
        <w:pStyle w:val="Bullet"/>
      </w:pPr>
      <w:r>
        <w:t>Strong melanopic drive synchronizes SCN, improving arousal networks (noradrenergic/cholinergic).</w:t>
      </w:r>
    </w:p>
    <w:p>
      <w:pPr>
        <w:pStyle w:val="H1"/>
      </w:pPr>
      <w:r>
        <w:t>Biochemical Pathways (Mechanistic Detail)</w:t>
      </w:r>
    </w:p>
    <w:p>
      <w:pPr>
        <w:pStyle w:val="Bullet"/>
      </w:pPr>
      <w:r>
        <w:t>OPN4 (Gq/11) → PLCβ → IP3/DAG → Ca²⁺ rise → transcriptional effects in SCN neurons.</w:t>
      </w:r>
    </w:p>
    <w:p>
      <w:pPr>
        <w:pStyle w:val="Bullet"/>
      </w:pPr>
      <w:r>
        <w:t>SCN coordinates peripheral oscillators via neuropeptides (VIP, AVP) stabilizing metabolism and cognition.</w:t>
      </w:r>
    </w:p>
    <w:p>
      <w:pPr>
        <w:pStyle w:val="H1"/>
      </w:pPr>
      <w:r>
        <w:t>Classroom Recommendations</w:t>
      </w:r>
    </w:p>
    <w:p>
      <w:pPr>
        <w:pStyle w:val="Bullet"/>
      </w:pPr>
      <w:r>
        <w:t>Use spectrally tuned luminaires/daylight to reach morning mEDI targets.</w:t>
      </w:r>
    </w:p>
    <w:p>
      <w:pPr>
        <w:pStyle w:val="Bullet"/>
      </w:pPr>
      <w:r>
        <w:t>Verify with spectrometer or CIE S 026 calculator.</w:t>
      </w:r>
    </w:p>
    <w:p>
      <w:pPr>
        <w:pStyle w:val="H1"/>
      </w:pPr>
      <w:r>
        <w:t>Quick Checklist</w:t>
      </w:r>
    </w:p>
    <w:p>
      <w:pPr>
        <w:pStyle w:val="Bullet"/>
      </w:pPr>
      <w:r>
        <w:t>mEDI measured at eye height for seated students.</w:t>
      </w:r>
    </w:p>
    <w:p>
      <w:pPr>
        <w:pStyle w:val="Bullet"/>
      </w:pPr>
      <w:r>
        <w:t>Morning exposure window ≥2 h at target levels.</w:t>
      </w:r>
    </w:p>
    <w:p>
      <w:pPr>
        <w:pStyle w:val="H1"/>
      </w:pPr>
      <w:r>
        <w:t>References</w:t>
      </w:r>
    </w:p>
    <w:p>
      <w:pPr>
        <w:pStyle w:val="Bullet"/>
      </w:pPr>
      <w:r>
        <w:t>Brown TM et al. (2022) — Reporting light for non-visual effects (melanopic metrics).</w:t>
      </w:r>
    </w:p>
    <w:p>
      <w:pPr>
        <w:pStyle w:val="Bullet"/>
      </w:pPr>
      <w:r>
        <w:t>CIE S 026/E:2018 — System for metrology of optical radiation for ipRGC-influenced responses.</w:t>
      </w:r>
    </w:p>
    <w:p>
      <w:pPr>
        <w:pStyle w:val="Bullet"/>
      </w:pPr>
      <w:r>
        <w:t>WELL — Circadian lighting feature guidance.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Large">
    <w:name w:val="TitleLarge"/>
    <w:basedOn w:val="Title"/>
    <w:rPr>
      <w:rFonts w:ascii="Calibri" w:hAnsi="Calibri"/>
      <w:b/>
      <w:sz w:val="56"/>
    </w:rPr>
  </w:style>
  <w:style w:type="paragraph" w:customStyle="1" w:styleId="H1">
    <w:name w:val="H1"/>
    <w:basedOn w:val="Heading1"/>
    <w:rPr>
      <w:rFonts w:ascii="Calibri" w:hAnsi="Calibri"/>
      <w:b/>
      <w:sz w:val="36"/>
    </w:rPr>
  </w:style>
  <w:style w:type="paragraph" w:customStyle="1" w:styleId="H2">
    <w:name w:val="H2"/>
    <w:basedOn w:val="Heading2"/>
    <w:rPr>
      <w:rFonts w:ascii="Calibri" w:hAnsi="Calibri"/>
      <w:b/>
      <w:sz w:val="28"/>
    </w:rPr>
  </w:style>
  <w:style w:type="paragraph" w:customStyle="1" w:styleId="Body">
    <w:name w:val="Body"/>
    <w:basedOn w:val="Normal"/>
    <w:rPr>
      <w:rFonts w:ascii="Calibri" w:hAnsi="Calibri"/>
      <w:sz w:val="22"/>
    </w:rPr>
  </w:style>
  <w:style w:type="paragraph" w:customStyle="1" w:styleId="Bullet">
    <w:name w:val="Bullet"/>
    <w:basedOn w:val="ListBullet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