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Large"/>
        <w:jc w:val="center"/>
      </w:pPr>
      <w:r>
        <w:t>Uniformity — Emin / Eavg</w:t>
      </w:r>
    </w:p>
    <w:p>
      <w:pPr>
        <w:pStyle w:val="Body"/>
        <w:jc w:val="center"/>
      </w:pPr>
      <w:r>
        <w:t>Spatial consistency, comfort, and load on visual system</w:t>
      </w:r>
    </w:p>
    <w:p>
      <w:pPr>
        <w:pStyle w:val="H1"/>
      </w:pPr>
      <w:r>
        <w:t>Definition</w:t>
      </w:r>
    </w:p>
    <w:p>
      <w:pPr>
        <w:pStyle w:val="Body"/>
      </w:pPr>
      <w:r>
        <w:t>Ratio of minimum to average illuminance. Higher uniformity means fewer dark corners and less adaptation stress.</w:t>
      </w:r>
    </w:p>
    <w:p>
      <w:pPr>
        <w:pStyle w:val="H1"/>
      </w:pPr>
      <w:r>
        <w:t>Recommended Ranges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Optimal</w:t>
            </w:r>
          </w:p>
        </w:tc>
        <w:tc>
          <w:tcPr>
            <w:tcW w:type="dxa" w:w="6480"/>
          </w:tcPr>
          <w:p>
            <w:r>
              <w:t>≥0.6 in classrooms (≥0.7 desirable in exam halls if practicable).</w:t>
            </w:r>
          </w:p>
        </w:tc>
      </w:tr>
      <w:tr>
        <w:tc>
          <w:tcPr>
            <w:tcW w:type="dxa" w:w="2880"/>
          </w:tcPr>
          <w:p>
            <w:r>
              <w:t>Caution</w:t>
            </w:r>
          </w:p>
        </w:tc>
        <w:tc>
          <w:tcPr>
            <w:tcW w:type="dxa" w:w="6480"/>
          </w:tcPr>
          <w:p>
            <w:r>
              <w:t>0.4–0.59 (caution); &lt;0.4 (avoid).</w:t>
            </w:r>
          </w:p>
        </w:tc>
      </w:tr>
    </w:tbl>
    <w:p>
      <w:pPr>
        <w:pStyle w:val="H1"/>
      </w:pPr>
      <w:r>
        <w:t>Biological Effects</w:t>
      </w:r>
    </w:p>
    <w:p>
      <w:pPr>
        <w:pStyle w:val="H2"/>
      </w:pPr>
      <w:r>
        <w:t>Hormones (Endocrine)</w:t>
      </w:r>
    </w:p>
    <w:p>
      <w:pPr>
        <w:pStyle w:val="Bullet"/>
      </w:pPr>
      <w:r>
        <w:t>Uneven fields raise adaptation stress → sympathetic/HPA activation → cortisol↑ in susceptible students.</w:t>
      </w:r>
    </w:p>
    <w:p>
      <w:pPr>
        <w:pStyle w:val="H2"/>
      </w:pPr>
      <w:r>
        <w:t>Skin (Photobiology &amp; Peripheral Clocks)</w:t>
      </w:r>
    </w:p>
    <w:p>
      <w:pPr>
        <w:pStyle w:val="Bullet"/>
      </w:pPr>
      <w:r>
        <w:t>Neutral at indoor levels.</w:t>
      </w:r>
    </w:p>
    <w:p>
      <w:pPr>
        <w:pStyle w:val="H2"/>
      </w:pPr>
      <w:r>
        <w:t>Nervous System (ipRGC → SCN → CNS)</w:t>
      </w:r>
    </w:p>
    <w:p>
      <w:pPr>
        <w:pStyle w:val="Bullet"/>
      </w:pPr>
      <w:r>
        <w:t>Frequent retinal adaptation (bleach/recover) increases metabolic load and visual cortex effort; attention stamina declines.</w:t>
      </w:r>
    </w:p>
    <w:p>
      <w:pPr>
        <w:pStyle w:val="H1"/>
      </w:pPr>
      <w:r>
        <w:t>Biochemical Pathways (Mechanistic Detail)</w:t>
      </w:r>
    </w:p>
    <w:p>
      <w:pPr>
        <w:pStyle w:val="Bullet"/>
      </w:pPr>
      <w:r>
        <w:t>Photoreceptor mitochondrial load↑ → ROS generation; antioxidant defenses (SOD, catalase) taxed.</w:t>
      </w:r>
    </w:p>
    <w:p>
      <w:pPr>
        <w:pStyle w:val="Bullet"/>
      </w:pPr>
      <w:r>
        <w:t>Chronic visual stress may upregulate inflammatory mediators (e.g., IL-6, TNF-α) in susceptible individuals.</w:t>
      </w:r>
    </w:p>
    <w:p>
      <w:pPr>
        <w:pStyle w:val="H1"/>
      </w:pPr>
      <w:r>
        <w:t>Classroom Recommendations</w:t>
      </w:r>
    </w:p>
    <w:p>
      <w:pPr>
        <w:pStyle w:val="Bullet"/>
      </w:pPr>
      <w:r>
        <w:t>Lay out luminaires to minimize contrast; consider indirect components.</w:t>
      </w:r>
    </w:p>
    <w:p>
      <w:pPr>
        <w:pStyle w:val="Bullet"/>
      </w:pPr>
      <w:r>
        <w:t>Verify uniformity at desks and whiteboards with measurements.</w:t>
      </w:r>
    </w:p>
    <w:p>
      <w:pPr>
        <w:pStyle w:val="H1"/>
      </w:pPr>
      <w:r>
        <w:t>Quick Checklist</w:t>
      </w:r>
    </w:p>
    <w:p>
      <w:pPr>
        <w:pStyle w:val="Bullet"/>
      </w:pPr>
      <w:r>
        <w:t>Uniformity ratio from lighting calc documented.</w:t>
      </w:r>
    </w:p>
    <w:p>
      <w:pPr>
        <w:pStyle w:val="Bullet"/>
      </w:pPr>
      <w:r>
        <w:t>Spot measurements confirm design values.</w:t>
      </w:r>
    </w:p>
    <w:p>
      <w:pPr>
        <w:pStyle w:val="H1"/>
      </w:pPr>
      <w:r>
        <w:t>References</w:t>
      </w:r>
    </w:p>
    <w:p>
      <w:pPr>
        <w:pStyle w:val="Bullet"/>
      </w:pPr>
      <w:r>
        <w:t>EN 12464-1 — Uniformity requirements for classrooms.</w:t>
      </w:r>
    </w:p>
    <w:p>
      <w:pPr>
        <w:pStyle w:val="Bullet"/>
      </w:pPr>
      <w:r>
        <w:t>Human factors studies on uneven lighting and visual stress.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Large">
    <w:name w:val="TitleLarge"/>
    <w:basedOn w:val="Title"/>
    <w:rPr>
      <w:rFonts w:ascii="Calibri" w:hAnsi="Calibri"/>
      <w:b/>
      <w:sz w:val="56"/>
    </w:rPr>
  </w:style>
  <w:style w:type="paragraph" w:customStyle="1" w:styleId="H1">
    <w:name w:val="H1"/>
    <w:basedOn w:val="Heading1"/>
    <w:rPr>
      <w:rFonts w:ascii="Calibri" w:hAnsi="Calibri"/>
      <w:b/>
      <w:sz w:val="36"/>
    </w:rPr>
  </w:style>
  <w:style w:type="paragraph" w:customStyle="1" w:styleId="H2">
    <w:name w:val="H2"/>
    <w:basedOn w:val="Heading2"/>
    <w:rPr>
      <w:rFonts w:ascii="Calibri" w:hAnsi="Calibri"/>
      <w:b/>
      <w:sz w:val="28"/>
    </w:rPr>
  </w:style>
  <w:style w:type="paragraph" w:customStyle="1" w:styleId="Body">
    <w:name w:val="Body"/>
    <w:basedOn w:val="Normal"/>
    <w:rPr>
      <w:rFonts w:ascii="Calibri" w:hAnsi="Calibri"/>
      <w:sz w:val="22"/>
    </w:rPr>
  </w:style>
  <w:style w:type="paragraph" w:customStyle="1" w:styleId="Bullet">
    <w:name w:val="Bullet"/>
    <w:basedOn w:val="ListBullet"/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