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Exposure Duration — Daily Light Dose</w:t>
      </w:r>
    </w:p>
    <w:p>
      <w:pPr>
        <w:pStyle w:val="Body"/>
        <w:jc w:val="center"/>
      </w:pPr>
      <w:r>
        <w:t>Time × spectrum × intensity for robust entrainment</w:t>
      </w:r>
    </w:p>
    <w:p>
      <w:pPr>
        <w:pStyle w:val="H1"/>
      </w:pPr>
      <w:r>
        <w:t>Definition</w:t>
      </w:r>
    </w:p>
    <w:p>
      <w:pPr>
        <w:pStyle w:val="Body"/>
      </w:pPr>
      <w:r>
        <w:t>Cumulative non-visual light exposure across the day. Both intensity and spectrum matter; morning/forenoon exposure is most impactful.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2–4 h/day of adequate vertical melanopic exposure (≥250 mEDI) in the morning/early afternoon.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&lt;2 h/day or irregular schedules (risk of weak entrainment/delayed sleep).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Stable daily dose entrains melatonin onset and cortisol amplitude; supports mood and daytime alertness.</w:t>
      </w:r>
    </w:p>
    <w:p>
      <w:pPr>
        <w:pStyle w:val="Bullet"/>
      </w:pPr>
      <w:r>
        <w:t>Adequate daytime light supports serotonin synthesis → nighttime melatonin via AANAT/ASMT.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If outdoor daylight is included: UVB converts 7-dehydrocholesterol → previtamin D3 → vitamin D3 (liver/kidney activation to calcitriol).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SCN stabilization improves hippocampal LTP and memory consolidation; reduces daytime sleepiness/inattention.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CLOCK/BMAL1 drive PER/CRY transcription; PER/CRY proteins inhibit their own activators (negative feedback). Light via SCN sets the phase.</w:t>
      </w:r>
    </w:p>
    <w:p>
      <w:pPr>
        <w:pStyle w:val="Bullet"/>
      </w:pPr>
      <w:r>
        <w:t>Vitamin D: skin cholecalciferol → 25(OH)D (liver) → 1,25(OH)₂D (kidney) → VDR-mediated gene transcription affecting immune/neural pathways.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Schedule brightest/most blue-enriched scenes in first school hours; calmer/warmer scenes later.</w:t>
      </w:r>
    </w:p>
    <w:p>
      <w:pPr>
        <w:pStyle w:val="Bullet"/>
      </w:pPr>
      <w:r>
        <w:t>Encourage outdoor breaks when feasible to supplement daylight dose.</w:t>
      </w:r>
    </w:p>
    <w:p>
      <w:pPr>
        <w:pStyle w:val="H1"/>
      </w:pPr>
      <w:r>
        <w:t>Quick Checklist</w:t>
      </w:r>
    </w:p>
    <w:p>
      <w:pPr>
        <w:pStyle w:val="Bullet"/>
      </w:pPr>
      <w:r>
        <w:t>Morning light block achieved (≥2 h).</w:t>
      </w:r>
    </w:p>
    <w:p>
      <w:pPr>
        <w:pStyle w:val="Bullet"/>
      </w:pPr>
      <w:r>
        <w:t>Scene schedules mapped to timetable; holidays and seasonality considered.</w:t>
      </w:r>
    </w:p>
    <w:p>
      <w:pPr>
        <w:pStyle w:val="H1"/>
      </w:pPr>
      <w:r>
        <w:t>References</w:t>
      </w:r>
    </w:p>
    <w:p>
      <w:pPr>
        <w:pStyle w:val="Bullet"/>
      </w:pPr>
      <w:r>
        <w:t>Brown TM et al. (2022) — Guidance on timing and reporting of non-visual light.</w:t>
      </w:r>
    </w:p>
    <w:p>
      <w:pPr>
        <w:pStyle w:val="Bullet"/>
      </w:pPr>
      <w:r>
        <w:t>Chronobiology literature: PER/CRY entrainment and cognitive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