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40D79" w14:textId="414EAC44" w:rsidR="009F4978" w:rsidRDefault="00A87444">
      <w:r>
        <w:t xml:space="preserve">Art rooms </w:t>
      </w:r>
    </w:p>
    <w:p w14:paraId="0B5BEF97" w14:textId="4A530CD8" w:rsidR="00A87444" w:rsidRDefault="00A87444">
      <w:r>
        <w:t>Lux: 750</w:t>
      </w:r>
    </w:p>
    <w:p w14:paraId="525BF00C" w14:textId="0A457697" w:rsidR="00A87444" w:rsidRDefault="00A87444">
      <w:r>
        <w:t>Glare: 19</w:t>
      </w:r>
    </w:p>
    <w:p w14:paraId="15EC9120" w14:textId="2CE147A7" w:rsidR="00A87444" w:rsidRDefault="00A87444">
      <w:r>
        <w:t>Uniformity: 0.70</w:t>
      </w:r>
    </w:p>
    <w:p w14:paraId="1B2711AA" w14:textId="73FA846B" w:rsidR="00A87444" w:rsidRDefault="00A87444">
      <w:r>
        <w:t>CRI: 90</w:t>
      </w:r>
    </w:p>
    <w:p w14:paraId="3EB0C658" w14:textId="29197076" w:rsidR="00A87444" w:rsidRDefault="00A87444">
      <w:r>
        <w:t>Color temperature: 5000K: 6500K</w:t>
      </w:r>
    </w:p>
    <w:p w14:paraId="1513633D" w14:textId="53A0CFB6" w:rsidR="00A87444" w:rsidRDefault="00A87444">
      <w:r>
        <w:t>Kitchen</w:t>
      </w:r>
    </w:p>
    <w:p w14:paraId="3FB0DB78" w14:textId="6F8A2C60" w:rsidR="00A87444" w:rsidRDefault="00A87444">
      <w:r>
        <w:t>Lux: 500</w:t>
      </w:r>
    </w:p>
    <w:p w14:paraId="6A4F2665" w14:textId="6E456515" w:rsidR="00A87444" w:rsidRDefault="00A87444">
      <w:r>
        <w:t>Glare: 22</w:t>
      </w:r>
    </w:p>
    <w:p w14:paraId="631009DA" w14:textId="093657A2" w:rsidR="00A87444" w:rsidRDefault="00A87444">
      <w:r>
        <w:t>Uniformity: 0.60</w:t>
      </w:r>
    </w:p>
    <w:p w14:paraId="35F15B8D" w14:textId="26AC672A" w:rsidR="00A87444" w:rsidRDefault="00A87444">
      <w:r>
        <w:t>CRI: 80</w:t>
      </w:r>
    </w:p>
    <w:p w14:paraId="5C8B03FB" w14:textId="77777777" w:rsidR="00A87444" w:rsidRDefault="00A87444"/>
    <w:p w14:paraId="6B8165F8" w14:textId="77777777" w:rsidR="00371A21" w:rsidRPr="00371A21" w:rsidRDefault="00371A21" w:rsidP="00371A21">
      <w:r w:rsidRPr="00371A21">
        <w:t>The recommended color temperature ranges for different school rooms are as follows:</w:t>
      </w:r>
    </w:p>
    <w:p w14:paraId="5E31DD8B" w14:textId="77777777" w:rsidR="00371A21" w:rsidRPr="00371A21" w:rsidRDefault="00371A21" w:rsidP="00371A21">
      <w:pPr>
        <w:numPr>
          <w:ilvl w:val="0"/>
          <w:numId w:val="1"/>
        </w:numPr>
      </w:pPr>
      <w:r w:rsidRPr="00371A21">
        <w:rPr>
          <w:b/>
          <w:bCs/>
        </w:rPr>
        <w:t>Discussion Room:</w:t>
      </w:r>
      <w:r w:rsidRPr="00371A21">
        <w:t> Neutral to cooler white light around 3500K to 4500K is ideal. This range supports clear communication and alertness without being too harsh.</w:t>
      </w:r>
    </w:p>
    <w:p w14:paraId="3A0D007A" w14:textId="77777777" w:rsidR="00371A21" w:rsidRPr="00371A21" w:rsidRDefault="00371A21" w:rsidP="00371A21">
      <w:pPr>
        <w:numPr>
          <w:ilvl w:val="0"/>
          <w:numId w:val="1"/>
        </w:numPr>
      </w:pPr>
      <w:r w:rsidRPr="00371A21">
        <w:rPr>
          <w:b/>
          <w:bCs/>
        </w:rPr>
        <w:t>Canteen (Cafeteria):</w:t>
      </w:r>
      <w:r w:rsidRPr="00371A21">
        <w:t> Slightly warmer light, typically between 3000K to 3500K, is preferred to create a relaxing and comfortable atmosphere for eating and socializing.</w:t>
      </w:r>
    </w:p>
    <w:p w14:paraId="1FD82023" w14:textId="77777777" w:rsidR="00371A21" w:rsidRPr="00371A21" w:rsidRDefault="00371A21" w:rsidP="00371A21">
      <w:pPr>
        <w:numPr>
          <w:ilvl w:val="0"/>
          <w:numId w:val="1"/>
        </w:numPr>
      </w:pPr>
      <w:r w:rsidRPr="00371A21">
        <w:rPr>
          <w:b/>
          <w:bCs/>
        </w:rPr>
        <w:t>Dressing Room:</w:t>
      </w:r>
      <w:r w:rsidRPr="00371A21">
        <w:t> Warm white light around 2700K to 3000K is desirable to provide flattering, comfortable lighting that is gentle on skin tones and avoids harshness.</w:t>
      </w:r>
    </w:p>
    <w:p w14:paraId="4155B40F" w14:textId="77777777" w:rsidR="00371A21" w:rsidRDefault="00371A21" w:rsidP="00371A21">
      <w:pPr>
        <w:numPr>
          <w:ilvl w:val="0"/>
          <w:numId w:val="1"/>
        </w:numPr>
      </w:pPr>
      <w:r w:rsidRPr="00371A21">
        <w:rPr>
          <w:b/>
          <w:bCs/>
        </w:rPr>
        <w:t>Computer Lab:</w:t>
      </w:r>
      <w:r w:rsidRPr="00371A21">
        <w:t> Cooler white light in the 4000K to 5000K range is used to enhance focus and reduce eye strain during screen work. This range also mimics daylight for better alertness</w:t>
      </w:r>
    </w:p>
    <w:p w14:paraId="59CF2C93" w14:textId="77777777" w:rsidR="001414FB" w:rsidRDefault="001414FB" w:rsidP="001414FB">
      <w:pPr>
        <w:ind w:left="720"/>
        <w:rPr>
          <w:b/>
          <w:bCs/>
        </w:rPr>
      </w:pPr>
    </w:p>
    <w:p w14:paraId="6EC656BC" w14:textId="77777777" w:rsidR="001414FB" w:rsidRDefault="001414FB" w:rsidP="001414FB">
      <w:pPr>
        <w:ind w:left="720"/>
        <w:rPr>
          <w:b/>
          <w:bCs/>
        </w:rPr>
      </w:pPr>
    </w:p>
    <w:p w14:paraId="25D78DA1" w14:textId="77777777" w:rsidR="001414FB" w:rsidRDefault="001414FB" w:rsidP="001414FB">
      <w:pPr>
        <w:ind w:left="720"/>
        <w:rPr>
          <w:b/>
          <w:bCs/>
        </w:rPr>
      </w:pPr>
    </w:p>
    <w:p w14:paraId="7ED02825" w14:textId="77777777" w:rsidR="001414FB" w:rsidRDefault="001414FB" w:rsidP="001414FB">
      <w:pPr>
        <w:ind w:left="720"/>
        <w:rPr>
          <w:b/>
          <w:bCs/>
        </w:rPr>
      </w:pPr>
    </w:p>
    <w:p w14:paraId="46E0651B" w14:textId="77777777" w:rsidR="001414FB" w:rsidRDefault="001414FB" w:rsidP="001414FB">
      <w:pPr>
        <w:ind w:left="720"/>
        <w:rPr>
          <w:b/>
          <w:bCs/>
        </w:rPr>
      </w:pPr>
    </w:p>
    <w:p w14:paraId="2009B8D4" w14:textId="77777777" w:rsidR="001414FB" w:rsidRDefault="001414FB" w:rsidP="001414FB">
      <w:pPr>
        <w:ind w:left="720"/>
        <w:rPr>
          <w:b/>
          <w:bCs/>
        </w:rPr>
      </w:pPr>
    </w:p>
    <w:p w14:paraId="34EEF123" w14:textId="77777777" w:rsidR="001414FB" w:rsidRDefault="001414FB" w:rsidP="001414FB">
      <w:pPr>
        <w:ind w:left="720"/>
        <w:rPr>
          <w:b/>
          <w:bCs/>
        </w:rPr>
      </w:pPr>
    </w:p>
    <w:p w14:paraId="67F51CEF" w14:textId="77777777" w:rsidR="001414FB" w:rsidRPr="00371A21" w:rsidRDefault="001414FB" w:rsidP="001414FB">
      <w:pPr>
        <w:ind w:left="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5"/>
        <w:gridCol w:w="2533"/>
        <w:gridCol w:w="604"/>
        <w:gridCol w:w="737"/>
        <w:gridCol w:w="2121"/>
      </w:tblGrid>
      <w:tr w:rsidR="001414FB" w:rsidRPr="001414FB" w14:paraId="64BC481D" w14:textId="77777777">
        <w:trPr>
          <w:tblHeader/>
          <w:tblCellSpacing w:w="15" w:type="dxa"/>
        </w:trPr>
        <w:tc>
          <w:tcPr>
            <w:tcW w:w="0" w:type="auto"/>
            <w:vAlign w:val="center"/>
            <w:hideMark/>
          </w:tcPr>
          <w:p w14:paraId="414FF10F" w14:textId="77777777" w:rsidR="001414FB" w:rsidRPr="001414FB" w:rsidRDefault="001414FB" w:rsidP="001414FB">
            <w:pPr>
              <w:rPr>
                <w:b/>
                <w:bCs/>
              </w:rPr>
            </w:pPr>
            <w:r w:rsidRPr="001414FB">
              <w:rPr>
                <w:b/>
                <w:bCs/>
              </w:rPr>
              <w:lastRenderedPageBreak/>
              <w:t>Space Type</w:t>
            </w:r>
          </w:p>
        </w:tc>
        <w:tc>
          <w:tcPr>
            <w:tcW w:w="0" w:type="auto"/>
            <w:vAlign w:val="center"/>
            <w:hideMark/>
          </w:tcPr>
          <w:p w14:paraId="32DF9608" w14:textId="77777777" w:rsidR="001414FB" w:rsidRPr="001414FB" w:rsidRDefault="001414FB" w:rsidP="001414FB">
            <w:pPr>
              <w:rPr>
                <w:b/>
                <w:bCs/>
              </w:rPr>
            </w:pPr>
            <w:r w:rsidRPr="001414FB">
              <w:rPr>
                <w:b/>
                <w:bCs/>
              </w:rPr>
              <w:t>Em (avg illuminance)</w:t>
            </w:r>
          </w:p>
        </w:tc>
        <w:tc>
          <w:tcPr>
            <w:tcW w:w="0" w:type="auto"/>
            <w:vAlign w:val="center"/>
            <w:hideMark/>
          </w:tcPr>
          <w:p w14:paraId="468B729E" w14:textId="77777777" w:rsidR="001414FB" w:rsidRPr="001414FB" w:rsidRDefault="001414FB" w:rsidP="001414FB">
            <w:pPr>
              <w:rPr>
                <w:b/>
                <w:bCs/>
              </w:rPr>
            </w:pPr>
            <w:r w:rsidRPr="001414FB">
              <w:rPr>
                <w:b/>
                <w:bCs/>
              </w:rPr>
              <w:t>UGR ≤</w:t>
            </w:r>
          </w:p>
        </w:tc>
        <w:tc>
          <w:tcPr>
            <w:tcW w:w="0" w:type="auto"/>
            <w:vAlign w:val="center"/>
            <w:hideMark/>
          </w:tcPr>
          <w:p w14:paraId="6EB8FCB3" w14:textId="77777777" w:rsidR="001414FB" w:rsidRPr="001414FB" w:rsidRDefault="001414FB" w:rsidP="001414FB">
            <w:pPr>
              <w:rPr>
                <w:b/>
                <w:bCs/>
              </w:rPr>
            </w:pPr>
            <w:r w:rsidRPr="001414FB">
              <w:rPr>
                <w:b/>
                <w:bCs/>
              </w:rPr>
              <w:t>CRI Ra ≥</w:t>
            </w:r>
          </w:p>
        </w:tc>
        <w:tc>
          <w:tcPr>
            <w:tcW w:w="0" w:type="auto"/>
            <w:vAlign w:val="center"/>
            <w:hideMark/>
          </w:tcPr>
          <w:p w14:paraId="49C34F0B" w14:textId="77777777" w:rsidR="001414FB" w:rsidRPr="001414FB" w:rsidRDefault="001414FB" w:rsidP="001414FB">
            <w:pPr>
              <w:rPr>
                <w:b/>
                <w:bCs/>
              </w:rPr>
            </w:pPr>
            <w:r w:rsidRPr="001414FB">
              <w:rPr>
                <w:b/>
                <w:bCs/>
              </w:rPr>
              <w:t>Notes</w:t>
            </w:r>
          </w:p>
        </w:tc>
      </w:tr>
      <w:tr w:rsidR="001414FB" w:rsidRPr="001414FB" w14:paraId="67B7EAE1" w14:textId="77777777">
        <w:trPr>
          <w:tblCellSpacing w:w="15" w:type="dxa"/>
        </w:trPr>
        <w:tc>
          <w:tcPr>
            <w:tcW w:w="0" w:type="auto"/>
            <w:vAlign w:val="center"/>
            <w:hideMark/>
          </w:tcPr>
          <w:p w14:paraId="262768B0" w14:textId="77777777" w:rsidR="001414FB" w:rsidRPr="001414FB" w:rsidRDefault="001414FB" w:rsidP="001414FB">
            <w:r w:rsidRPr="001414FB">
              <w:t>Classrooms / Tutorial Rooms</w:t>
            </w:r>
          </w:p>
        </w:tc>
        <w:tc>
          <w:tcPr>
            <w:tcW w:w="0" w:type="auto"/>
            <w:vAlign w:val="center"/>
            <w:hideMark/>
          </w:tcPr>
          <w:p w14:paraId="50E7EDD8" w14:textId="77777777" w:rsidR="001414FB" w:rsidRPr="001414FB" w:rsidRDefault="001414FB" w:rsidP="001414FB">
            <w:r w:rsidRPr="001414FB">
              <w:t>300 lx</w:t>
            </w:r>
          </w:p>
        </w:tc>
        <w:tc>
          <w:tcPr>
            <w:tcW w:w="0" w:type="auto"/>
            <w:vAlign w:val="center"/>
            <w:hideMark/>
          </w:tcPr>
          <w:p w14:paraId="6C9C635D" w14:textId="77777777" w:rsidR="001414FB" w:rsidRPr="001414FB" w:rsidRDefault="001414FB" w:rsidP="001414FB">
            <w:r w:rsidRPr="001414FB">
              <w:t>19</w:t>
            </w:r>
          </w:p>
        </w:tc>
        <w:tc>
          <w:tcPr>
            <w:tcW w:w="0" w:type="auto"/>
            <w:vAlign w:val="center"/>
            <w:hideMark/>
          </w:tcPr>
          <w:p w14:paraId="469CD634" w14:textId="77777777" w:rsidR="001414FB" w:rsidRPr="001414FB" w:rsidRDefault="001414FB" w:rsidP="001414FB">
            <w:r w:rsidRPr="001414FB">
              <w:t>80</w:t>
            </w:r>
          </w:p>
        </w:tc>
        <w:tc>
          <w:tcPr>
            <w:tcW w:w="0" w:type="auto"/>
            <w:vAlign w:val="center"/>
            <w:hideMark/>
          </w:tcPr>
          <w:p w14:paraId="09D266A1" w14:textId="77777777" w:rsidR="001414FB" w:rsidRPr="001414FB" w:rsidRDefault="001414FB" w:rsidP="001414FB">
            <w:r w:rsidRPr="001414FB">
              <w:t>Lighting controllable</w:t>
            </w:r>
          </w:p>
        </w:tc>
      </w:tr>
      <w:tr w:rsidR="001414FB" w:rsidRPr="001414FB" w14:paraId="24591BC0" w14:textId="77777777">
        <w:trPr>
          <w:tblCellSpacing w:w="15" w:type="dxa"/>
        </w:trPr>
        <w:tc>
          <w:tcPr>
            <w:tcW w:w="0" w:type="auto"/>
            <w:vAlign w:val="center"/>
            <w:hideMark/>
          </w:tcPr>
          <w:p w14:paraId="15BAA304" w14:textId="77777777" w:rsidR="001414FB" w:rsidRPr="001414FB" w:rsidRDefault="001414FB" w:rsidP="001414FB">
            <w:r w:rsidRPr="001414FB">
              <w:t>Evening / Adult Education Classrooms</w:t>
            </w:r>
          </w:p>
        </w:tc>
        <w:tc>
          <w:tcPr>
            <w:tcW w:w="0" w:type="auto"/>
            <w:vAlign w:val="center"/>
            <w:hideMark/>
          </w:tcPr>
          <w:p w14:paraId="340C8BCC" w14:textId="77777777" w:rsidR="001414FB" w:rsidRPr="001414FB" w:rsidRDefault="001414FB" w:rsidP="001414FB">
            <w:r w:rsidRPr="001414FB">
              <w:t>500 lx</w:t>
            </w:r>
          </w:p>
        </w:tc>
        <w:tc>
          <w:tcPr>
            <w:tcW w:w="0" w:type="auto"/>
            <w:vAlign w:val="center"/>
            <w:hideMark/>
          </w:tcPr>
          <w:p w14:paraId="605BE58D" w14:textId="77777777" w:rsidR="001414FB" w:rsidRPr="001414FB" w:rsidRDefault="001414FB" w:rsidP="001414FB">
            <w:r w:rsidRPr="001414FB">
              <w:t>19</w:t>
            </w:r>
          </w:p>
        </w:tc>
        <w:tc>
          <w:tcPr>
            <w:tcW w:w="0" w:type="auto"/>
            <w:vAlign w:val="center"/>
            <w:hideMark/>
          </w:tcPr>
          <w:p w14:paraId="40824743" w14:textId="77777777" w:rsidR="001414FB" w:rsidRPr="001414FB" w:rsidRDefault="001414FB" w:rsidP="001414FB">
            <w:r w:rsidRPr="001414FB">
              <w:t>80</w:t>
            </w:r>
          </w:p>
        </w:tc>
        <w:tc>
          <w:tcPr>
            <w:tcW w:w="0" w:type="auto"/>
            <w:vAlign w:val="center"/>
            <w:hideMark/>
          </w:tcPr>
          <w:p w14:paraId="60F4A48A" w14:textId="77777777" w:rsidR="001414FB" w:rsidRPr="001414FB" w:rsidRDefault="001414FB" w:rsidP="001414FB">
            <w:r w:rsidRPr="001414FB">
              <w:t>Adjustable control</w:t>
            </w:r>
          </w:p>
        </w:tc>
      </w:tr>
      <w:tr w:rsidR="001414FB" w:rsidRPr="001414FB" w14:paraId="225FD31A" w14:textId="77777777">
        <w:trPr>
          <w:tblCellSpacing w:w="15" w:type="dxa"/>
        </w:trPr>
        <w:tc>
          <w:tcPr>
            <w:tcW w:w="0" w:type="auto"/>
            <w:vAlign w:val="center"/>
            <w:hideMark/>
          </w:tcPr>
          <w:p w14:paraId="098A5185" w14:textId="77777777" w:rsidR="001414FB" w:rsidRPr="001414FB" w:rsidRDefault="001414FB" w:rsidP="001414FB">
            <w:r w:rsidRPr="001414FB">
              <w:t>Lecture Halls</w:t>
            </w:r>
          </w:p>
        </w:tc>
        <w:tc>
          <w:tcPr>
            <w:tcW w:w="0" w:type="auto"/>
            <w:vAlign w:val="center"/>
            <w:hideMark/>
          </w:tcPr>
          <w:p w14:paraId="1A661AB5" w14:textId="77777777" w:rsidR="001414FB" w:rsidRPr="001414FB" w:rsidRDefault="001414FB" w:rsidP="001414FB">
            <w:r w:rsidRPr="001414FB">
              <w:t>500 lx (750 lx demo)</w:t>
            </w:r>
          </w:p>
        </w:tc>
        <w:tc>
          <w:tcPr>
            <w:tcW w:w="0" w:type="auto"/>
            <w:vAlign w:val="center"/>
            <w:hideMark/>
          </w:tcPr>
          <w:p w14:paraId="5A1B5EDB" w14:textId="77777777" w:rsidR="001414FB" w:rsidRPr="001414FB" w:rsidRDefault="001414FB" w:rsidP="001414FB">
            <w:r w:rsidRPr="001414FB">
              <w:t>19</w:t>
            </w:r>
          </w:p>
        </w:tc>
        <w:tc>
          <w:tcPr>
            <w:tcW w:w="0" w:type="auto"/>
            <w:vAlign w:val="center"/>
            <w:hideMark/>
          </w:tcPr>
          <w:p w14:paraId="6712CDE0" w14:textId="77777777" w:rsidR="001414FB" w:rsidRPr="001414FB" w:rsidRDefault="001414FB" w:rsidP="001414FB">
            <w:r w:rsidRPr="001414FB">
              <w:t>80</w:t>
            </w:r>
          </w:p>
        </w:tc>
        <w:tc>
          <w:tcPr>
            <w:tcW w:w="0" w:type="auto"/>
            <w:vAlign w:val="center"/>
            <w:hideMark/>
          </w:tcPr>
          <w:p w14:paraId="5770EDCE" w14:textId="77777777" w:rsidR="001414FB" w:rsidRPr="001414FB" w:rsidRDefault="001414FB" w:rsidP="001414FB">
            <w:r w:rsidRPr="001414FB">
              <w:t>Higher for demo areas</w:t>
            </w:r>
          </w:p>
        </w:tc>
      </w:tr>
      <w:tr w:rsidR="001414FB" w:rsidRPr="001414FB" w14:paraId="4EF65526" w14:textId="77777777">
        <w:trPr>
          <w:tblCellSpacing w:w="15" w:type="dxa"/>
        </w:trPr>
        <w:tc>
          <w:tcPr>
            <w:tcW w:w="0" w:type="auto"/>
            <w:vAlign w:val="center"/>
            <w:hideMark/>
          </w:tcPr>
          <w:p w14:paraId="51324910" w14:textId="77777777" w:rsidR="001414FB" w:rsidRPr="001414FB" w:rsidRDefault="001414FB" w:rsidP="001414FB">
            <w:r w:rsidRPr="001414FB">
              <w:t>Computer Practice Rooms (e</w:t>
            </w:r>
            <w:r w:rsidRPr="001414FB">
              <w:noBreakHyphen/>
              <w:t>learning)</w:t>
            </w:r>
          </w:p>
        </w:tc>
        <w:tc>
          <w:tcPr>
            <w:tcW w:w="0" w:type="auto"/>
            <w:vAlign w:val="center"/>
            <w:hideMark/>
          </w:tcPr>
          <w:p w14:paraId="1129C2A2" w14:textId="77777777" w:rsidR="001414FB" w:rsidRPr="001414FB" w:rsidRDefault="001414FB" w:rsidP="001414FB">
            <w:r w:rsidRPr="001414FB">
              <w:t>300 lx</w:t>
            </w:r>
          </w:p>
        </w:tc>
        <w:tc>
          <w:tcPr>
            <w:tcW w:w="0" w:type="auto"/>
            <w:vAlign w:val="center"/>
            <w:hideMark/>
          </w:tcPr>
          <w:p w14:paraId="0A1C6FD6" w14:textId="77777777" w:rsidR="001414FB" w:rsidRPr="001414FB" w:rsidRDefault="001414FB" w:rsidP="001414FB">
            <w:r w:rsidRPr="001414FB">
              <w:t>19</w:t>
            </w:r>
          </w:p>
        </w:tc>
        <w:tc>
          <w:tcPr>
            <w:tcW w:w="0" w:type="auto"/>
            <w:vAlign w:val="center"/>
            <w:hideMark/>
          </w:tcPr>
          <w:p w14:paraId="7FFB13F2" w14:textId="77777777" w:rsidR="001414FB" w:rsidRPr="001414FB" w:rsidRDefault="001414FB" w:rsidP="001414FB">
            <w:r w:rsidRPr="001414FB">
              <w:t>80</w:t>
            </w:r>
          </w:p>
        </w:tc>
        <w:tc>
          <w:tcPr>
            <w:tcW w:w="0" w:type="auto"/>
            <w:vAlign w:val="center"/>
            <w:hideMark/>
          </w:tcPr>
          <w:p w14:paraId="5E391563" w14:textId="77777777" w:rsidR="001414FB" w:rsidRPr="001414FB" w:rsidRDefault="001414FB" w:rsidP="001414FB">
            <w:r w:rsidRPr="001414FB">
              <w:t>DSE</w:t>
            </w:r>
            <w:r w:rsidRPr="001414FB">
              <w:noBreakHyphen/>
              <w:t>work clause applies</w:t>
            </w:r>
          </w:p>
        </w:tc>
      </w:tr>
      <w:tr w:rsidR="001414FB" w:rsidRPr="001414FB" w14:paraId="65CEA91A" w14:textId="77777777">
        <w:trPr>
          <w:tblCellSpacing w:w="15" w:type="dxa"/>
        </w:trPr>
        <w:tc>
          <w:tcPr>
            <w:tcW w:w="0" w:type="auto"/>
            <w:vAlign w:val="center"/>
            <w:hideMark/>
          </w:tcPr>
          <w:p w14:paraId="5B2D7901" w14:textId="77777777" w:rsidR="001414FB" w:rsidRPr="001414FB" w:rsidRDefault="001414FB" w:rsidP="001414FB">
            <w:r w:rsidRPr="001414FB">
              <w:t>Canteens / School Canteens</w:t>
            </w:r>
          </w:p>
        </w:tc>
        <w:tc>
          <w:tcPr>
            <w:tcW w:w="0" w:type="auto"/>
            <w:vAlign w:val="center"/>
            <w:hideMark/>
          </w:tcPr>
          <w:p w14:paraId="7A881245" w14:textId="77777777" w:rsidR="001414FB" w:rsidRPr="001414FB" w:rsidRDefault="001414FB" w:rsidP="001414FB">
            <w:r w:rsidRPr="001414FB">
              <w:t>200 lx</w:t>
            </w:r>
          </w:p>
        </w:tc>
        <w:tc>
          <w:tcPr>
            <w:tcW w:w="0" w:type="auto"/>
            <w:vAlign w:val="center"/>
            <w:hideMark/>
          </w:tcPr>
          <w:p w14:paraId="5131EB62" w14:textId="77777777" w:rsidR="001414FB" w:rsidRPr="001414FB" w:rsidRDefault="001414FB" w:rsidP="001414FB">
            <w:r w:rsidRPr="001414FB">
              <w:t>22</w:t>
            </w:r>
          </w:p>
        </w:tc>
        <w:tc>
          <w:tcPr>
            <w:tcW w:w="0" w:type="auto"/>
            <w:vAlign w:val="center"/>
            <w:hideMark/>
          </w:tcPr>
          <w:p w14:paraId="031FF46F" w14:textId="77777777" w:rsidR="001414FB" w:rsidRPr="001414FB" w:rsidRDefault="001414FB" w:rsidP="001414FB">
            <w:r w:rsidRPr="001414FB">
              <w:t>80</w:t>
            </w:r>
          </w:p>
        </w:tc>
        <w:tc>
          <w:tcPr>
            <w:tcW w:w="0" w:type="auto"/>
            <w:vAlign w:val="center"/>
            <w:hideMark/>
          </w:tcPr>
          <w:p w14:paraId="7BF0F407" w14:textId="77777777" w:rsidR="001414FB" w:rsidRPr="001414FB" w:rsidRDefault="001414FB" w:rsidP="001414FB">
            <w:r w:rsidRPr="001414FB">
              <w:t>Ambient/tourist area</w:t>
            </w:r>
          </w:p>
        </w:tc>
      </w:tr>
      <w:tr w:rsidR="001414FB" w:rsidRPr="001414FB" w14:paraId="5C36276B" w14:textId="77777777">
        <w:trPr>
          <w:tblCellSpacing w:w="15" w:type="dxa"/>
        </w:trPr>
        <w:tc>
          <w:tcPr>
            <w:tcW w:w="0" w:type="auto"/>
            <w:vAlign w:val="center"/>
            <w:hideMark/>
          </w:tcPr>
          <w:p w14:paraId="443A4541" w14:textId="77777777" w:rsidR="001414FB" w:rsidRPr="001414FB" w:rsidRDefault="001414FB" w:rsidP="001414FB">
            <w:r w:rsidRPr="001414FB">
              <w:t>Practice Labs / Science Rooms</w:t>
            </w:r>
          </w:p>
        </w:tc>
        <w:tc>
          <w:tcPr>
            <w:tcW w:w="0" w:type="auto"/>
            <w:vAlign w:val="center"/>
            <w:hideMark/>
          </w:tcPr>
          <w:p w14:paraId="0A7F9D4B" w14:textId="77777777" w:rsidR="001414FB" w:rsidRPr="001414FB" w:rsidRDefault="001414FB" w:rsidP="001414FB">
            <w:r w:rsidRPr="001414FB">
              <w:t>500 lx</w:t>
            </w:r>
          </w:p>
        </w:tc>
        <w:tc>
          <w:tcPr>
            <w:tcW w:w="0" w:type="auto"/>
            <w:vAlign w:val="center"/>
            <w:hideMark/>
          </w:tcPr>
          <w:p w14:paraId="5CC1EF15" w14:textId="77777777" w:rsidR="001414FB" w:rsidRPr="001414FB" w:rsidRDefault="001414FB" w:rsidP="001414FB">
            <w:r w:rsidRPr="001414FB">
              <w:t>19</w:t>
            </w:r>
          </w:p>
        </w:tc>
        <w:tc>
          <w:tcPr>
            <w:tcW w:w="0" w:type="auto"/>
            <w:vAlign w:val="center"/>
            <w:hideMark/>
          </w:tcPr>
          <w:p w14:paraId="16FDD23F" w14:textId="77777777" w:rsidR="001414FB" w:rsidRPr="001414FB" w:rsidRDefault="001414FB" w:rsidP="001414FB">
            <w:r w:rsidRPr="001414FB">
              <w:t>80</w:t>
            </w:r>
          </w:p>
        </w:tc>
        <w:tc>
          <w:tcPr>
            <w:tcW w:w="0" w:type="auto"/>
            <w:vAlign w:val="center"/>
            <w:hideMark/>
          </w:tcPr>
          <w:p w14:paraId="227777A8" w14:textId="77777777" w:rsidR="001414FB" w:rsidRPr="001414FB" w:rsidRDefault="001414FB" w:rsidP="001414FB">
            <w:r w:rsidRPr="001414FB">
              <w:t>Practical-use lighting</w:t>
            </w:r>
          </w:p>
        </w:tc>
      </w:tr>
      <w:tr w:rsidR="001414FB" w:rsidRPr="001414FB" w14:paraId="77E2B07F" w14:textId="77777777">
        <w:trPr>
          <w:tblCellSpacing w:w="15" w:type="dxa"/>
        </w:trPr>
        <w:tc>
          <w:tcPr>
            <w:tcW w:w="0" w:type="auto"/>
            <w:vAlign w:val="center"/>
            <w:hideMark/>
          </w:tcPr>
          <w:p w14:paraId="24932756" w14:textId="77777777" w:rsidR="001414FB" w:rsidRPr="001414FB" w:rsidRDefault="001414FB" w:rsidP="001414FB">
            <w:r w:rsidRPr="001414FB">
              <w:t>Teachers’ / Prep Rooms, Common Rooms</w:t>
            </w:r>
          </w:p>
        </w:tc>
        <w:tc>
          <w:tcPr>
            <w:tcW w:w="0" w:type="auto"/>
            <w:vAlign w:val="center"/>
            <w:hideMark/>
          </w:tcPr>
          <w:p w14:paraId="3C58E48F" w14:textId="77777777" w:rsidR="001414FB" w:rsidRPr="001414FB" w:rsidRDefault="001414FB" w:rsidP="001414FB">
            <w:r w:rsidRPr="001414FB">
              <w:t>300 lx (common rooms 200 lx)</w:t>
            </w:r>
          </w:p>
        </w:tc>
        <w:tc>
          <w:tcPr>
            <w:tcW w:w="0" w:type="auto"/>
            <w:vAlign w:val="center"/>
            <w:hideMark/>
          </w:tcPr>
          <w:p w14:paraId="39452561" w14:textId="77777777" w:rsidR="001414FB" w:rsidRPr="001414FB" w:rsidRDefault="001414FB" w:rsidP="001414FB">
            <w:r w:rsidRPr="001414FB">
              <w:t>19–22</w:t>
            </w:r>
          </w:p>
        </w:tc>
        <w:tc>
          <w:tcPr>
            <w:tcW w:w="0" w:type="auto"/>
            <w:vAlign w:val="center"/>
            <w:hideMark/>
          </w:tcPr>
          <w:p w14:paraId="2CB7D581" w14:textId="77777777" w:rsidR="001414FB" w:rsidRPr="001414FB" w:rsidRDefault="001414FB" w:rsidP="001414FB">
            <w:r w:rsidRPr="001414FB">
              <w:t>80</w:t>
            </w:r>
          </w:p>
        </w:tc>
        <w:tc>
          <w:tcPr>
            <w:tcW w:w="0" w:type="auto"/>
            <w:vAlign w:val="center"/>
            <w:hideMark/>
          </w:tcPr>
          <w:p w14:paraId="2386727B" w14:textId="77777777" w:rsidR="001414FB" w:rsidRPr="001414FB" w:rsidRDefault="001414FB" w:rsidP="001414FB">
            <w:r w:rsidRPr="001414FB">
              <w:t>Depending on use</w:t>
            </w:r>
          </w:p>
        </w:tc>
      </w:tr>
      <w:tr w:rsidR="001414FB" w:rsidRPr="001414FB" w14:paraId="288462D4" w14:textId="77777777">
        <w:trPr>
          <w:tblCellSpacing w:w="15" w:type="dxa"/>
        </w:trPr>
        <w:tc>
          <w:tcPr>
            <w:tcW w:w="0" w:type="auto"/>
            <w:vAlign w:val="center"/>
            <w:hideMark/>
          </w:tcPr>
          <w:p w14:paraId="4E99F3D8" w14:textId="77777777" w:rsidR="001414FB" w:rsidRPr="001414FB" w:rsidRDefault="001414FB" w:rsidP="001414FB">
            <w:r w:rsidRPr="001414FB">
              <w:t>Corridors</w:t>
            </w:r>
          </w:p>
        </w:tc>
        <w:tc>
          <w:tcPr>
            <w:tcW w:w="0" w:type="auto"/>
            <w:vAlign w:val="center"/>
            <w:hideMark/>
          </w:tcPr>
          <w:p w14:paraId="032C7B1E" w14:textId="77777777" w:rsidR="001414FB" w:rsidRPr="001414FB" w:rsidRDefault="001414FB" w:rsidP="001414FB">
            <w:r w:rsidRPr="001414FB">
              <w:t>100 lx</w:t>
            </w:r>
          </w:p>
        </w:tc>
        <w:tc>
          <w:tcPr>
            <w:tcW w:w="0" w:type="auto"/>
            <w:vAlign w:val="center"/>
            <w:hideMark/>
          </w:tcPr>
          <w:p w14:paraId="5C7BD29D" w14:textId="77777777" w:rsidR="001414FB" w:rsidRPr="001414FB" w:rsidRDefault="001414FB" w:rsidP="001414FB">
            <w:r w:rsidRPr="001414FB">
              <w:t>25</w:t>
            </w:r>
          </w:p>
        </w:tc>
        <w:tc>
          <w:tcPr>
            <w:tcW w:w="0" w:type="auto"/>
            <w:vAlign w:val="center"/>
            <w:hideMark/>
          </w:tcPr>
          <w:p w14:paraId="154BAB08" w14:textId="77777777" w:rsidR="001414FB" w:rsidRPr="001414FB" w:rsidRDefault="001414FB" w:rsidP="001414FB">
            <w:r w:rsidRPr="001414FB">
              <w:t>80</w:t>
            </w:r>
          </w:p>
        </w:tc>
        <w:tc>
          <w:tcPr>
            <w:tcW w:w="0" w:type="auto"/>
            <w:vAlign w:val="center"/>
            <w:hideMark/>
          </w:tcPr>
          <w:p w14:paraId="12ECFBCB" w14:textId="77777777" w:rsidR="001414FB" w:rsidRPr="001414FB" w:rsidRDefault="001414FB" w:rsidP="001414FB">
            <w:r w:rsidRPr="001414FB">
              <w:t>Circulation areas</w:t>
            </w:r>
          </w:p>
        </w:tc>
      </w:tr>
      <w:tr w:rsidR="001414FB" w:rsidRPr="001414FB" w14:paraId="67346649" w14:textId="77777777">
        <w:trPr>
          <w:tblCellSpacing w:w="15" w:type="dxa"/>
        </w:trPr>
        <w:tc>
          <w:tcPr>
            <w:tcW w:w="0" w:type="auto"/>
            <w:vAlign w:val="center"/>
            <w:hideMark/>
          </w:tcPr>
          <w:p w14:paraId="79D02ED0" w14:textId="77777777" w:rsidR="001414FB" w:rsidRPr="001414FB" w:rsidRDefault="001414FB" w:rsidP="001414FB">
            <w:r w:rsidRPr="001414FB">
              <w:t>Stairs</w:t>
            </w:r>
          </w:p>
        </w:tc>
        <w:tc>
          <w:tcPr>
            <w:tcW w:w="0" w:type="auto"/>
            <w:vAlign w:val="center"/>
            <w:hideMark/>
          </w:tcPr>
          <w:p w14:paraId="42A0CC8F" w14:textId="77777777" w:rsidR="001414FB" w:rsidRPr="001414FB" w:rsidRDefault="001414FB" w:rsidP="001414FB">
            <w:r w:rsidRPr="001414FB">
              <w:t>150 lx</w:t>
            </w:r>
          </w:p>
        </w:tc>
        <w:tc>
          <w:tcPr>
            <w:tcW w:w="0" w:type="auto"/>
            <w:vAlign w:val="center"/>
            <w:hideMark/>
          </w:tcPr>
          <w:p w14:paraId="2DD4727A" w14:textId="77777777" w:rsidR="001414FB" w:rsidRPr="001414FB" w:rsidRDefault="001414FB" w:rsidP="001414FB">
            <w:r w:rsidRPr="001414FB">
              <w:t>25</w:t>
            </w:r>
          </w:p>
        </w:tc>
        <w:tc>
          <w:tcPr>
            <w:tcW w:w="0" w:type="auto"/>
            <w:vAlign w:val="center"/>
            <w:hideMark/>
          </w:tcPr>
          <w:p w14:paraId="4A3874B5" w14:textId="77777777" w:rsidR="001414FB" w:rsidRPr="001414FB" w:rsidRDefault="001414FB" w:rsidP="001414FB">
            <w:r w:rsidRPr="001414FB">
              <w:t>80</w:t>
            </w:r>
          </w:p>
        </w:tc>
        <w:tc>
          <w:tcPr>
            <w:tcW w:w="0" w:type="auto"/>
            <w:vAlign w:val="center"/>
            <w:hideMark/>
          </w:tcPr>
          <w:p w14:paraId="72E21B0B" w14:textId="77777777" w:rsidR="001414FB" w:rsidRPr="001414FB" w:rsidRDefault="001414FB" w:rsidP="001414FB">
            <w:r w:rsidRPr="001414FB">
              <w:t>Safety-critical</w:t>
            </w:r>
          </w:p>
        </w:tc>
      </w:tr>
    </w:tbl>
    <w:p w14:paraId="0576FF2B" w14:textId="77777777" w:rsidR="00A87444" w:rsidRDefault="00A87444"/>
    <w:tbl>
      <w:tblPr>
        <w:tblpPr w:leftFromText="180" w:rightFromText="180" w:vertAnchor="text" w:horzAnchor="margin" w:tblpY="188"/>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797"/>
        <w:gridCol w:w="627"/>
        <w:gridCol w:w="1091"/>
        <w:gridCol w:w="1336"/>
        <w:gridCol w:w="1067"/>
      </w:tblGrid>
      <w:tr w:rsidR="00904C47" w:rsidRPr="00904C47" w14:paraId="0B894BF7" w14:textId="77777777" w:rsidTr="00904C47">
        <w:trPr>
          <w:tblHeader/>
          <w:tblCellSpacing w:w="15" w:type="dxa"/>
        </w:trPr>
        <w:tc>
          <w:tcPr>
            <w:tcW w:w="0" w:type="auto"/>
            <w:vAlign w:val="center"/>
            <w:hideMark/>
          </w:tcPr>
          <w:p w14:paraId="0E402BF4" w14:textId="77777777" w:rsidR="00904C47" w:rsidRPr="00904C47" w:rsidRDefault="00904C47" w:rsidP="00904C47">
            <w:pPr>
              <w:rPr>
                <w:b/>
                <w:bCs/>
              </w:rPr>
            </w:pPr>
            <w:r w:rsidRPr="00904C47">
              <w:rPr>
                <w:b/>
                <w:bCs/>
              </w:rPr>
              <w:t>Room Type</w:t>
            </w:r>
          </w:p>
        </w:tc>
        <w:tc>
          <w:tcPr>
            <w:tcW w:w="0" w:type="auto"/>
            <w:vAlign w:val="center"/>
            <w:hideMark/>
          </w:tcPr>
          <w:p w14:paraId="4EE2F480" w14:textId="77777777" w:rsidR="00904C47" w:rsidRPr="00904C47" w:rsidRDefault="00904C47" w:rsidP="00904C47">
            <w:pPr>
              <w:rPr>
                <w:b/>
                <w:bCs/>
              </w:rPr>
            </w:pPr>
            <w:r w:rsidRPr="00904C47">
              <w:rPr>
                <w:b/>
                <w:bCs/>
              </w:rPr>
              <w:t>Em</w:t>
            </w:r>
            <w:r w:rsidRPr="00904C47">
              <w:rPr>
                <w:b/>
                <w:bCs/>
              </w:rPr>
              <w:noBreakHyphen/>
              <w:t>lux</w:t>
            </w:r>
          </w:p>
        </w:tc>
        <w:tc>
          <w:tcPr>
            <w:tcW w:w="0" w:type="auto"/>
            <w:vAlign w:val="center"/>
            <w:hideMark/>
          </w:tcPr>
          <w:p w14:paraId="73CAA990" w14:textId="77777777" w:rsidR="00904C47" w:rsidRPr="00904C47" w:rsidRDefault="00904C47" w:rsidP="00904C47">
            <w:pPr>
              <w:rPr>
                <w:b/>
                <w:bCs/>
              </w:rPr>
            </w:pPr>
            <w:r w:rsidRPr="00904C47">
              <w:rPr>
                <w:b/>
                <w:bCs/>
              </w:rPr>
              <w:t>UGR ≤</w:t>
            </w:r>
          </w:p>
        </w:tc>
        <w:tc>
          <w:tcPr>
            <w:tcW w:w="0" w:type="auto"/>
            <w:vAlign w:val="center"/>
            <w:hideMark/>
          </w:tcPr>
          <w:p w14:paraId="40D7FC10" w14:textId="77777777" w:rsidR="00904C47" w:rsidRPr="00904C47" w:rsidRDefault="00904C47" w:rsidP="00904C47">
            <w:pPr>
              <w:rPr>
                <w:b/>
                <w:bCs/>
              </w:rPr>
            </w:pPr>
            <w:r w:rsidRPr="00904C47">
              <w:rPr>
                <w:b/>
                <w:bCs/>
              </w:rPr>
              <w:t>CRI Ra</w:t>
            </w:r>
          </w:p>
        </w:tc>
        <w:tc>
          <w:tcPr>
            <w:tcW w:w="0" w:type="auto"/>
            <w:vAlign w:val="center"/>
            <w:hideMark/>
          </w:tcPr>
          <w:p w14:paraId="38EDCA4E" w14:textId="77777777" w:rsidR="00904C47" w:rsidRPr="00904C47" w:rsidRDefault="00904C47" w:rsidP="00904C47">
            <w:pPr>
              <w:rPr>
                <w:b/>
                <w:bCs/>
              </w:rPr>
            </w:pPr>
            <w:r w:rsidRPr="00904C47">
              <w:rPr>
                <w:b/>
                <w:bCs/>
              </w:rPr>
              <w:t>CCT (approx.)</w:t>
            </w:r>
          </w:p>
        </w:tc>
        <w:tc>
          <w:tcPr>
            <w:tcW w:w="0" w:type="auto"/>
            <w:vAlign w:val="center"/>
            <w:hideMark/>
          </w:tcPr>
          <w:p w14:paraId="1576D9AC" w14:textId="77777777" w:rsidR="00904C47" w:rsidRPr="00904C47" w:rsidRDefault="00904C47" w:rsidP="00904C47">
            <w:pPr>
              <w:rPr>
                <w:b/>
                <w:bCs/>
              </w:rPr>
            </w:pPr>
            <w:r w:rsidRPr="00904C47">
              <w:rPr>
                <w:b/>
                <w:bCs/>
              </w:rPr>
              <w:t>Uniformity</w:t>
            </w:r>
          </w:p>
        </w:tc>
      </w:tr>
      <w:tr w:rsidR="00904C47" w:rsidRPr="00904C47" w14:paraId="4064F68D" w14:textId="77777777" w:rsidTr="00904C47">
        <w:trPr>
          <w:tblCellSpacing w:w="15" w:type="dxa"/>
        </w:trPr>
        <w:tc>
          <w:tcPr>
            <w:tcW w:w="0" w:type="auto"/>
            <w:vAlign w:val="center"/>
            <w:hideMark/>
          </w:tcPr>
          <w:p w14:paraId="2D340A37" w14:textId="77777777" w:rsidR="00904C47" w:rsidRPr="00904C47" w:rsidRDefault="00904C47" w:rsidP="00904C47">
            <w:r w:rsidRPr="00904C47">
              <w:t>Classroom / Discussion Room</w:t>
            </w:r>
          </w:p>
        </w:tc>
        <w:tc>
          <w:tcPr>
            <w:tcW w:w="0" w:type="auto"/>
            <w:vAlign w:val="center"/>
            <w:hideMark/>
          </w:tcPr>
          <w:p w14:paraId="40789E65" w14:textId="77777777" w:rsidR="00904C47" w:rsidRPr="00904C47" w:rsidRDefault="00904C47" w:rsidP="00904C47">
            <w:r w:rsidRPr="00904C47">
              <w:t>300</w:t>
            </w:r>
          </w:p>
        </w:tc>
        <w:tc>
          <w:tcPr>
            <w:tcW w:w="0" w:type="auto"/>
            <w:vAlign w:val="center"/>
            <w:hideMark/>
          </w:tcPr>
          <w:p w14:paraId="6E616E4B" w14:textId="77777777" w:rsidR="00904C47" w:rsidRPr="00904C47" w:rsidRDefault="00904C47" w:rsidP="00904C47">
            <w:r w:rsidRPr="00904C47">
              <w:t>19</w:t>
            </w:r>
          </w:p>
        </w:tc>
        <w:tc>
          <w:tcPr>
            <w:tcW w:w="0" w:type="auto"/>
            <w:vAlign w:val="center"/>
            <w:hideMark/>
          </w:tcPr>
          <w:p w14:paraId="2AD118C7" w14:textId="77777777" w:rsidR="00904C47" w:rsidRPr="00904C47" w:rsidRDefault="00904C47" w:rsidP="00904C47">
            <w:r w:rsidRPr="00904C47">
              <w:t>≥ 80</w:t>
            </w:r>
          </w:p>
        </w:tc>
        <w:tc>
          <w:tcPr>
            <w:tcW w:w="0" w:type="auto"/>
            <w:vAlign w:val="center"/>
            <w:hideMark/>
          </w:tcPr>
          <w:p w14:paraId="32B04291" w14:textId="77777777" w:rsidR="00904C47" w:rsidRPr="00904C47" w:rsidRDefault="00904C47" w:rsidP="00904C47">
            <w:r w:rsidRPr="00904C47">
              <w:t>~4000–5000 K</w:t>
            </w:r>
          </w:p>
        </w:tc>
        <w:tc>
          <w:tcPr>
            <w:tcW w:w="0" w:type="auto"/>
            <w:vAlign w:val="center"/>
            <w:hideMark/>
          </w:tcPr>
          <w:p w14:paraId="2EF677F6" w14:textId="77777777" w:rsidR="00904C47" w:rsidRPr="00904C47" w:rsidRDefault="00904C47" w:rsidP="00904C47">
            <w:r w:rsidRPr="00904C47">
              <w:t>≥ 0.7</w:t>
            </w:r>
          </w:p>
        </w:tc>
      </w:tr>
      <w:tr w:rsidR="00904C47" w:rsidRPr="00904C47" w14:paraId="68A46BA9" w14:textId="77777777" w:rsidTr="00904C47">
        <w:trPr>
          <w:tblCellSpacing w:w="15" w:type="dxa"/>
        </w:trPr>
        <w:tc>
          <w:tcPr>
            <w:tcW w:w="0" w:type="auto"/>
            <w:vAlign w:val="center"/>
            <w:hideMark/>
          </w:tcPr>
          <w:p w14:paraId="7C53656C" w14:textId="77777777" w:rsidR="00904C47" w:rsidRPr="00904C47" w:rsidRDefault="00904C47" w:rsidP="00904C47">
            <w:r w:rsidRPr="00904C47">
              <w:t>Computer Lab</w:t>
            </w:r>
          </w:p>
        </w:tc>
        <w:tc>
          <w:tcPr>
            <w:tcW w:w="0" w:type="auto"/>
            <w:vAlign w:val="center"/>
            <w:hideMark/>
          </w:tcPr>
          <w:p w14:paraId="2666D726" w14:textId="77777777" w:rsidR="00904C47" w:rsidRPr="00904C47" w:rsidRDefault="00904C47" w:rsidP="00904C47">
            <w:r w:rsidRPr="00904C47">
              <w:t>300</w:t>
            </w:r>
          </w:p>
        </w:tc>
        <w:tc>
          <w:tcPr>
            <w:tcW w:w="0" w:type="auto"/>
            <w:vAlign w:val="center"/>
            <w:hideMark/>
          </w:tcPr>
          <w:p w14:paraId="52588A78" w14:textId="77777777" w:rsidR="00904C47" w:rsidRPr="00904C47" w:rsidRDefault="00904C47" w:rsidP="00904C47">
            <w:r w:rsidRPr="00904C47">
              <w:t>19</w:t>
            </w:r>
          </w:p>
        </w:tc>
        <w:tc>
          <w:tcPr>
            <w:tcW w:w="0" w:type="auto"/>
            <w:vAlign w:val="center"/>
            <w:hideMark/>
          </w:tcPr>
          <w:p w14:paraId="29C50A3E" w14:textId="77777777" w:rsidR="00904C47" w:rsidRPr="00904C47" w:rsidRDefault="00904C47" w:rsidP="00904C47">
            <w:r w:rsidRPr="00904C47">
              <w:t>≥ 80</w:t>
            </w:r>
          </w:p>
        </w:tc>
        <w:tc>
          <w:tcPr>
            <w:tcW w:w="0" w:type="auto"/>
            <w:vAlign w:val="center"/>
            <w:hideMark/>
          </w:tcPr>
          <w:p w14:paraId="0726AE8A" w14:textId="77777777" w:rsidR="00904C47" w:rsidRPr="00904C47" w:rsidRDefault="00904C47" w:rsidP="00904C47">
            <w:r w:rsidRPr="00904C47">
              <w:t>~4000–5000 K</w:t>
            </w:r>
          </w:p>
        </w:tc>
        <w:tc>
          <w:tcPr>
            <w:tcW w:w="0" w:type="auto"/>
            <w:vAlign w:val="center"/>
            <w:hideMark/>
          </w:tcPr>
          <w:p w14:paraId="72029894" w14:textId="77777777" w:rsidR="00904C47" w:rsidRPr="00904C47" w:rsidRDefault="00904C47" w:rsidP="00904C47">
            <w:r w:rsidRPr="00904C47">
              <w:t>≥ 0.7</w:t>
            </w:r>
          </w:p>
        </w:tc>
      </w:tr>
      <w:tr w:rsidR="00904C47" w:rsidRPr="00904C47" w14:paraId="22A02910" w14:textId="77777777" w:rsidTr="00904C47">
        <w:trPr>
          <w:tblCellSpacing w:w="15" w:type="dxa"/>
        </w:trPr>
        <w:tc>
          <w:tcPr>
            <w:tcW w:w="0" w:type="auto"/>
            <w:vAlign w:val="center"/>
            <w:hideMark/>
          </w:tcPr>
          <w:p w14:paraId="06C32304" w14:textId="77777777" w:rsidR="00904C47" w:rsidRPr="00904C47" w:rsidRDefault="00904C47" w:rsidP="00904C47">
            <w:r w:rsidRPr="00904C47">
              <w:t>Canteen / Common Room</w:t>
            </w:r>
          </w:p>
        </w:tc>
        <w:tc>
          <w:tcPr>
            <w:tcW w:w="0" w:type="auto"/>
            <w:vAlign w:val="center"/>
            <w:hideMark/>
          </w:tcPr>
          <w:p w14:paraId="07230428" w14:textId="77777777" w:rsidR="00904C47" w:rsidRPr="00904C47" w:rsidRDefault="00904C47" w:rsidP="00904C47">
            <w:r w:rsidRPr="00904C47">
              <w:t>200</w:t>
            </w:r>
          </w:p>
        </w:tc>
        <w:tc>
          <w:tcPr>
            <w:tcW w:w="0" w:type="auto"/>
            <w:vAlign w:val="center"/>
            <w:hideMark/>
          </w:tcPr>
          <w:p w14:paraId="656332BE" w14:textId="77777777" w:rsidR="00904C47" w:rsidRPr="00904C47" w:rsidRDefault="00904C47" w:rsidP="00904C47">
            <w:r w:rsidRPr="00904C47">
              <w:t>22</w:t>
            </w:r>
          </w:p>
        </w:tc>
        <w:tc>
          <w:tcPr>
            <w:tcW w:w="0" w:type="auto"/>
            <w:vAlign w:val="center"/>
            <w:hideMark/>
          </w:tcPr>
          <w:p w14:paraId="299E966A" w14:textId="77777777" w:rsidR="00904C47" w:rsidRPr="00904C47" w:rsidRDefault="00904C47" w:rsidP="00904C47">
            <w:r w:rsidRPr="00904C47">
              <w:t>≥ 80</w:t>
            </w:r>
          </w:p>
        </w:tc>
        <w:tc>
          <w:tcPr>
            <w:tcW w:w="0" w:type="auto"/>
            <w:vAlign w:val="center"/>
            <w:hideMark/>
          </w:tcPr>
          <w:p w14:paraId="43FD2FDB" w14:textId="77777777" w:rsidR="00904C47" w:rsidRPr="00904C47" w:rsidRDefault="00904C47" w:rsidP="00904C47">
            <w:r w:rsidRPr="00904C47">
              <w:t>~3500–4500 K</w:t>
            </w:r>
          </w:p>
        </w:tc>
        <w:tc>
          <w:tcPr>
            <w:tcW w:w="0" w:type="auto"/>
            <w:vAlign w:val="center"/>
            <w:hideMark/>
          </w:tcPr>
          <w:p w14:paraId="6321CC1C" w14:textId="77777777" w:rsidR="00904C47" w:rsidRPr="00904C47" w:rsidRDefault="00904C47" w:rsidP="00904C47">
            <w:r w:rsidRPr="00904C47">
              <w:t>≥ 0.6–0.7</w:t>
            </w:r>
          </w:p>
        </w:tc>
      </w:tr>
      <w:tr w:rsidR="00904C47" w:rsidRPr="00904C47" w14:paraId="17F86299" w14:textId="77777777" w:rsidTr="00904C47">
        <w:trPr>
          <w:tblCellSpacing w:w="15" w:type="dxa"/>
        </w:trPr>
        <w:tc>
          <w:tcPr>
            <w:tcW w:w="0" w:type="auto"/>
            <w:vAlign w:val="center"/>
            <w:hideMark/>
          </w:tcPr>
          <w:p w14:paraId="75540AF3" w14:textId="77777777" w:rsidR="00904C47" w:rsidRPr="00904C47" w:rsidRDefault="00904C47" w:rsidP="00904C47">
            <w:r w:rsidRPr="00904C47">
              <w:t>Dressing / Prep Room</w:t>
            </w:r>
          </w:p>
        </w:tc>
        <w:tc>
          <w:tcPr>
            <w:tcW w:w="0" w:type="auto"/>
            <w:vAlign w:val="center"/>
            <w:hideMark/>
          </w:tcPr>
          <w:p w14:paraId="3434F8B3" w14:textId="77777777" w:rsidR="00904C47" w:rsidRPr="00904C47" w:rsidRDefault="00904C47" w:rsidP="00904C47">
            <w:r w:rsidRPr="00904C47">
              <w:t>300</w:t>
            </w:r>
            <w:r w:rsidRPr="00904C47">
              <w:noBreakHyphen/>
              <w:t>500</w:t>
            </w:r>
          </w:p>
        </w:tc>
        <w:tc>
          <w:tcPr>
            <w:tcW w:w="0" w:type="auto"/>
            <w:vAlign w:val="center"/>
            <w:hideMark/>
          </w:tcPr>
          <w:p w14:paraId="6F35BE92" w14:textId="77777777" w:rsidR="00904C47" w:rsidRPr="00904C47" w:rsidRDefault="00904C47" w:rsidP="00904C47">
            <w:r w:rsidRPr="00904C47">
              <w:t>19</w:t>
            </w:r>
          </w:p>
        </w:tc>
        <w:tc>
          <w:tcPr>
            <w:tcW w:w="0" w:type="auto"/>
            <w:vAlign w:val="center"/>
            <w:hideMark/>
          </w:tcPr>
          <w:p w14:paraId="7BDCD52E" w14:textId="77777777" w:rsidR="00904C47" w:rsidRPr="00904C47" w:rsidRDefault="00904C47" w:rsidP="00904C47">
            <w:r w:rsidRPr="00904C47">
              <w:t>≥ 80 (or 90)</w:t>
            </w:r>
          </w:p>
        </w:tc>
        <w:tc>
          <w:tcPr>
            <w:tcW w:w="0" w:type="auto"/>
            <w:vAlign w:val="center"/>
            <w:hideMark/>
          </w:tcPr>
          <w:p w14:paraId="61EB4683" w14:textId="77777777" w:rsidR="00904C47" w:rsidRPr="00904C47" w:rsidRDefault="00904C47" w:rsidP="00904C47">
            <w:r w:rsidRPr="00904C47">
              <w:t>~4000–5000 K</w:t>
            </w:r>
          </w:p>
        </w:tc>
        <w:tc>
          <w:tcPr>
            <w:tcW w:w="0" w:type="auto"/>
            <w:vAlign w:val="center"/>
            <w:hideMark/>
          </w:tcPr>
          <w:p w14:paraId="19FCF2B9" w14:textId="77777777" w:rsidR="00904C47" w:rsidRPr="00904C47" w:rsidRDefault="00904C47" w:rsidP="00904C47">
            <w:r w:rsidRPr="00904C47">
              <w:t>≥ 0.7</w:t>
            </w:r>
          </w:p>
        </w:tc>
      </w:tr>
    </w:tbl>
    <w:p w14:paraId="51724DA4" w14:textId="77777777" w:rsidR="00A87444" w:rsidRDefault="00A87444"/>
    <w:p w14:paraId="460B2C40" w14:textId="77777777" w:rsidR="009F4978" w:rsidRDefault="009F4978"/>
    <w:p w14:paraId="5E0637BD" w14:textId="77777777" w:rsidR="00F85422" w:rsidRDefault="00F85422"/>
    <w:p w14:paraId="084CE8D9" w14:textId="77777777" w:rsidR="00F85422" w:rsidRDefault="00F85422"/>
    <w:p w14:paraId="14D0A4C1" w14:textId="77777777" w:rsidR="00F85422" w:rsidRDefault="00F85422"/>
    <w:p w14:paraId="63A43AD2" w14:textId="77777777" w:rsidR="00F85422" w:rsidRDefault="00F85422"/>
    <w:p w14:paraId="4F771385" w14:textId="77777777" w:rsidR="00F85422" w:rsidRDefault="00F85422"/>
    <w:p w14:paraId="515AFEBC" w14:textId="77777777" w:rsidR="00F85422" w:rsidRDefault="00F85422"/>
    <w:p w14:paraId="1E144090" w14:textId="77777777" w:rsidR="00F85422" w:rsidRDefault="00F85422"/>
    <w:p w14:paraId="629930A6" w14:textId="77777777" w:rsidR="00F85422" w:rsidRDefault="00F85422"/>
    <w:p w14:paraId="69946000" w14:textId="77777777" w:rsidR="00F85422" w:rsidRDefault="00F85422"/>
    <w:p w14:paraId="6AAED945" w14:textId="77777777" w:rsidR="00F85422" w:rsidRDefault="00F85422"/>
    <w:p w14:paraId="2907AF9A" w14:textId="77777777" w:rsidR="00F85422" w:rsidRDefault="00F85422"/>
    <w:p w14:paraId="40B2AFEA" w14:textId="77777777" w:rsidR="00F85422" w:rsidRDefault="00F85422"/>
    <w:p w14:paraId="62C9A8BE" w14:textId="77777777" w:rsidR="00F85422" w:rsidRDefault="00F85422"/>
    <w:p w14:paraId="65325C86" w14:textId="77777777" w:rsidR="00F85422" w:rsidRDefault="00F85422"/>
    <w:p w14:paraId="229ED26F" w14:textId="77777777" w:rsidR="00F85422" w:rsidRDefault="00F85422"/>
    <w:p w14:paraId="71A659AC" w14:textId="77777777" w:rsidR="00F85422" w:rsidRDefault="00F85422"/>
    <w:p w14:paraId="278B3362" w14:textId="77777777" w:rsidR="00F85422" w:rsidRDefault="00F85422"/>
    <w:p w14:paraId="6441E071" w14:textId="77777777" w:rsidR="00F85422" w:rsidRDefault="00F85422"/>
    <w:p w14:paraId="5E643AFC" w14:textId="77777777" w:rsidR="00F85422" w:rsidRDefault="00F85422"/>
    <w:p w14:paraId="6438B924" w14:textId="77777777" w:rsidR="00F85422" w:rsidRDefault="00F85422"/>
    <w:p w14:paraId="3F17250D" w14:textId="77777777" w:rsidR="00F85422" w:rsidRDefault="00F85422"/>
    <w:p w14:paraId="5B78984B" w14:textId="77777777" w:rsidR="00F85422" w:rsidRDefault="00F85422"/>
    <w:p w14:paraId="4C4F208E" w14:textId="77777777" w:rsidR="00F85422" w:rsidRDefault="00F85422"/>
    <w:p w14:paraId="01718D92" w14:textId="77777777" w:rsidR="00F85422" w:rsidRDefault="00F85422"/>
    <w:p w14:paraId="5ADCCA67" w14:textId="77777777" w:rsidR="009F4978" w:rsidRDefault="009F4978"/>
    <w:p w14:paraId="38AC7240" w14:textId="77777777" w:rsidR="009F4978" w:rsidRDefault="009F4978"/>
    <w:p w14:paraId="212E79D4" w14:textId="7D1DB6E6" w:rsidR="009F4978" w:rsidRDefault="009F4978" w:rsidP="009F4978">
      <w:r w:rsidRPr="009F4978">
        <w:t>COMPUTER ROOM</w:t>
      </w:r>
    </w:p>
    <w:p w14:paraId="529AF4A9" w14:textId="5A0CE093" w:rsidR="009F4978" w:rsidRPr="009F4978" w:rsidRDefault="009F4978" w:rsidP="009F4978">
      <w:r w:rsidRPr="009F4978">
        <w:t>The computer competence is assigned such a great importance today as the knowledge of foreign lan</w:t>
      </w:r>
      <w:r w:rsidRPr="009F4978">
        <w:softHyphen/>
        <w:t xml:space="preserve">guages or natural sciences. </w:t>
      </w:r>
      <w:r w:rsidRPr="009F4978">
        <w:t>Therefore,</w:t>
      </w:r>
      <w:r w:rsidRPr="009F4978">
        <w:t xml:space="preserve"> today computers are an inseparable part of the educational process. </w:t>
      </w:r>
    </w:p>
    <w:p w14:paraId="1DA8DBBA" w14:textId="77777777" w:rsidR="009F4978" w:rsidRPr="009F4978" w:rsidRDefault="009F4978" w:rsidP="009F4978">
      <w:r w:rsidRPr="009F4978">
        <w:t>The rooms where the lessons on the PC screens take place have increased demands on the illumination of the space. Besides the main lighting it is important to think about the correct vertical illumination of the walls and ceiling of the computer room. The package with recommendations of the British designers – Lighting Guide 7 (LG 7) – states the ratio 50 % for the illumination value of the vertical surfaces compared with the working plane, for illuminating the ceil</w:t>
      </w:r>
      <w:r w:rsidRPr="009F4978">
        <w:softHyphen/>
        <w:t>ings 30 % of the working plane illuminance. The suspended linear luminaires with the direct and indirect radiation of the luminous flux are an ideal solu</w:t>
      </w:r>
      <w:r w:rsidRPr="009F4978">
        <w:softHyphen/>
        <w:t xml:space="preserve">tion for this type of space. </w:t>
      </w:r>
    </w:p>
    <w:p w14:paraId="0F4E77B6" w14:textId="77777777" w:rsidR="009F4978" w:rsidRPr="009F4978" w:rsidRDefault="009F4978" w:rsidP="009F4978">
      <w:r w:rsidRPr="009F4978">
        <w:t>Compared with other class</w:t>
      </w:r>
      <w:r w:rsidRPr="009F4978">
        <w:softHyphen/>
        <w:t>rooms in the computer room it is very important to prevent undesirable glare and reflection on the screens. The optimal conditions can be achieved by the sufficient shielding of the</w:t>
      </w:r>
      <w:r>
        <w:t xml:space="preserve"> </w:t>
      </w:r>
      <w:r w:rsidRPr="009F4978">
        <w:t>light sources and correct layout of the luminaires. In the rooms with availability of daylight it is due to the same reason to fit the windows with systems of curtains or blinds. The minimal shielding angles of the light sources and the value of the psychological glare admissible for the computer rooms are adapted by the European stand</w:t>
      </w:r>
      <w:r w:rsidRPr="009F4978">
        <w:softHyphen/>
        <w:t xml:space="preserve">ard EN ISO 9241-307. </w:t>
      </w:r>
    </w:p>
    <w:p w14:paraId="50534D3E" w14:textId="07BFD2A1" w:rsidR="009F4978" w:rsidRPr="009F4978" w:rsidRDefault="009F4978" w:rsidP="009F4978">
      <w:r w:rsidRPr="009F4978">
        <w:t xml:space="preserve">The interactive teaching process in the computer rooms where the vision is permanently transferred from the PC monitor to the teacher and vice versa requires a uniform distribution of brightness in the room. Too much of a contrast luminance in the individual levels of the space could represent a burden </w:t>
      </w:r>
      <w:r w:rsidRPr="009F4978">
        <w:lastRenderedPageBreak/>
        <w:t xml:space="preserve">for the eyes and could cause fast fatigue of the pupils. If the computer room is equipped with a projection screen and an overhead projector and the teaching process is </w:t>
      </w:r>
      <w:r w:rsidRPr="009F4978">
        <w:t>realized</w:t>
      </w:r>
      <w:r w:rsidRPr="009F4978">
        <w:t xml:space="preserve"> through multimedia presenta</w:t>
      </w:r>
      <w:r w:rsidRPr="009F4978">
        <w:softHyphen/>
        <w:t xml:space="preserve">tions, it is important to dim the lighting to the required intensity or to switch off completely part of the lighting system. </w:t>
      </w:r>
    </w:p>
    <w:p w14:paraId="2ABE0D32" w14:textId="26C73258" w:rsidR="009F4978" w:rsidRDefault="009F4978" w:rsidP="009F4978">
      <w:r w:rsidRPr="009F4978">
        <w:t>As the computer rooms are spaces without a permanent occurrence of persons, it is suitable to consider some tools of the lighting manage</w:t>
      </w:r>
      <w:r w:rsidRPr="009F4978">
        <w:softHyphen/>
        <w:t>ment system due to energy savings.</w:t>
      </w:r>
    </w:p>
    <w:sectPr w:rsidR="009F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F94D25"/>
    <w:multiLevelType w:val="multilevel"/>
    <w:tmpl w:val="874E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994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78"/>
    <w:rsid w:val="00064A7C"/>
    <w:rsid w:val="001414FB"/>
    <w:rsid w:val="002C38D4"/>
    <w:rsid w:val="00371A21"/>
    <w:rsid w:val="004D2C16"/>
    <w:rsid w:val="007624AE"/>
    <w:rsid w:val="007B763B"/>
    <w:rsid w:val="00861F49"/>
    <w:rsid w:val="00904C47"/>
    <w:rsid w:val="009F4978"/>
    <w:rsid w:val="00A87444"/>
    <w:rsid w:val="00F21F8B"/>
    <w:rsid w:val="00F85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E73A"/>
  <w15:chartTrackingRefBased/>
  <w15:docId w15:val="{689D021E-4742-454B-BDB2-AFC2A53F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9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9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9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9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9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9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9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978"/>
    <w:rPr>
      <w:rFonts w:eastAsiaTheme="majorEastAsia" w:cstheme="majorBidi"/>
      <w:color w:val="272727" w:themeColor="text1" w:themeTint="D8"/>
    </w:rPr>
  </w:style>
  <w:style w:type="paragraph" w:styleId="Title">
    <w:name w:val="Title"/>
    <w:basedOn w:val="Normal"/>
    <w:next w:val="Normal"/>
    <w:link w:val="TitleChar"/>
    <w:uiPriority w:val="10"/>
    <w:qFormat/>
    <w:rsid w:val="009F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978"/>
    <w:pPr>
      <w:spacing w:before="160"/>
      <w:jc w:val="center"/>
    </w:pPr>
    <w:rPr>
      <w:i/>
      <w:iCs/>
      <w:color w:val="404040" w:themeColor="text1" w:themeTint="BF"/>
    </w:rPr>
  </w:style>
  <w:style w:type="character" w:customStyle="1" w:styleId="QuoteChar">
    <w:name w:val="Quote Char"/>
    <w:basedOn w:val="DefaultParagraphFont"/>
    <w:link w:val="Quote"/>
    <w:uiPriority w:val="29"/>
    <w:rsid w:val="009F4978"/>
    <w:rPr>
      <w:i/>
      <w:iCs/>
      <w:color w:val="404040" w:themeColor="text1" w:themeTint="BF"/>
    </w:rPr>
  </w:style>
  <w:style w:type="paragraph" w:styleId="ListParagraph">
    <w:name w:val="List Paragraph"/>
    <w:basedOn w:val="Normal"/>
    <w:uiPriority w:val="34"/>
    <w:qFormat/>
    <w:rsid w:val="009F4978"/>
    <w:pPr>
      <w:ind w:left="720"/>
      <w:contextualSpacing/>
    </w:pPr>
  </w:style>
  <w:style w:type="character" w:styleId="IntenseEmphasis">
    <w:name w:val="Intense Emphasis"/>
    <w:basedOn w:val="DefaultParagraphFont"/>
    <w:uiPriority w:val="21"/>
    <w:qFormat/>
    <w:rsid w:val="009F4978"/>
    <w:rPr>
      <w:i/>
      <w:iCs/>
      <w:color w:val="2F5496" w:themeColor="accent1" w:themeShade="BF"/>
    </w:rPr>
  </w:style>
  <w:style w:type="paragraph" w:styleId="IntenseQuote">
    <w:name w:val="Intense Quote"/>
    <w:basedOn w:val="Normal"/>
    <w:next w:val="Normal"/>
    <w:link w:val="IntenseQuoteChar"/>
    <w:uiPriority w:val="30"/>
    <w:qFormat/>
    <w:rsid w:val="009F4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978"/>
    <w:rPr>
      <w:i/>
      <w:iCs/>
      <w:color w:val="2F5496" w:themeColor="accent1" w:themeShade="BF"/>
    </w:rPr>
  </w:style>
  <w:style w:type="character" w:styleId="IntenseReference">
    <w:name w:val="Intense Reference"/>
    <w:basedOn w:val="DefaultParagraphFont"/>
    <w:uiPriority w:val="32"/>
    <w:qFormat/>
    <w:rsid w:val="009F49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salma mostafa</cp:lastModifiedBy>
  <cp:revision>1</cp:revision>
  <dcterms:created xsi:type="dcterms:W3CDTF">2025-08-04T12:41:00Z</dcterms:created>
  <dcterms:modified xsi:type="dcterms:W3CDTF">2025-08-04T17:26:00Z</dcterms:modified>
</cp:coreProperties>
</file>