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8DC3E" w14:textId="443DA37C" w:rsidR="007624AE" w:rsidRDefault="00765262" w:rsidP="00765262">
      <w:pPr>
        <w:jc w:val="center"/>
        <w:rPr>
          <w:b/>
          <w:bCs/>
        </w:rPr>
      </w:pPr>
      <w:r w:rsidRPr="00765262">
        <w:rPr>
          <w:b/>
          <w:bCs/>
        </w:rPr>
        <w:t xml:space="preserve">Impact of led lighting on Age 3-6 while they are </w:t>
      </w:r>
      <w:r w:rsidR="00A6477F" w:rsidRPr="00765262">
        <w:rPr>
          <w:b/>
          <w:bCs/>
        </w:rPr>
        <w:t>painting, Playroom</w:t>
      </w:r>
      <w:r w:rsidR="00A6477F">
        <w:rPr>
          <w:b/>
          <w:bCs/>
        </w:rPr>
        <w:t xml:space="preserve"> and library </w:t>
      </w:r>
      <w:r w:rsidR="00A6477F" w:rsidRPr="00765262">
        <w:rPr>
          <w:b/>
          <w:bCs/>
        </w:rPr>
        <w:t>(</w:t>
      </w:r>
      <w:r w:rsidRPr="00765262">
        <w:rPr>
          <w:b/>
          <w:bCs/>
        </w:rPr>
        <w:t>LUX, color temperature, Glare, CRI and uniformity in school</w:t>
      </w:r>
    </w:p>
    <w:p w14:paraId="5B918D55" w14:textId="77777777" w:rsidR="00EE4F76" w:rsidRDefault="00EE4F76" w:rsidP="00EE4F76">
      <w:pPr>
        <w:rPr>
          <w:b/>
          <w:bCs/>
        </w:rPr>
      </w:pPr>
    </w:p>
    <w:p w14:paraId="16FA6179" w14:textId="77777777" w:rsidR="00EE4F76" w:rsidRPr="00EE4F76" w:rsidRDefault="00EE4F76" w:rsidP="00EE4F76">
      <w:pPr>
        <w:numPr>
          <w:ilvl w:val="0"/>
          <w:numId w:val="1"/>
        </w:numPr>
      </w:pPr>
      <w:r w:rsidRPr="00EE4F76">
        <w:rPr>
          <w:b/>
          <w:bCs/>
        </w:rPr>
        <w:t>Illuminance (Lux):</w:t>
      </w:r>
      <w:r w:rsidRPr="00EE4F76">
        <w:t> For young children while painting and playing, recommended light levels are typically around 300-500 lux. This illuminance supports good visibility without causing eye strain or fatigue. It ensures children can see colors and details clearly when engaged in fine motor tasks like painting or sorting, without harsh brightness.</w:t>
      </w:r>
    </w:p>
    <w:p w14:paraId="1E7A2072" w14:textId="77777777" w:rsidR="00EE4F76" w:rsidRPr="00EE4F76" w:rsidRDefault="00EE4F76" w:rsidP="00EE4F76">
      <w:pPr>
        <w:numPr>
          <w:ilvl w:val="0"/>
          <w:numId w:val="1"/>
        </w:numPr>
      </w:pPr>
      <w:r w:rsidRPr="00EE4F76">
        <w:rPr>
          <w:b/>
          <w:bCs/>
        </w:rPr>
        <w:t>Color Temperature:</w:t>
      </w:r>
      <w:r w:rsidRPr="00EE4F76">
        <w:t> Soft, warm white light (around 2700K to 3500K) tends to create a cozy, calming atmosphere that is conducive to concentration and creativity, reducing stress and agitation in young children. Cooler temperatures (above 4000K) may be more stimulating but can cause discomfort if too harsh. Balanced lighting close to natural daylight (4000-5000K) can enhance color perception for art activities without causing glare or eye strain.</w:t>
      </w:r>
    </w:p>
    <w:p w14:paraId="4E3B85D0" w14:textId="77777777" w:rsidR="00EE4F76" w:rsidRPr="00EE4F76" w:rsidRDefault="00EE4F76" w:rsidP="00EE4F76">
      <w:pPr>
        <w:numPr>
          <w:ilvl w:val="0"/>
          <w:numId w:val="1"/>
        </w:numPr>
      </w:pPr>
      <w:r w:rsidRPr="00EE4F76">
        <w:rPr>
          <w:b/>
          <w:bCs/>
        </w:rPr>
        <w:t>Glare:</w:t>
      </w:r>
      <w:r w:rsidRPr="00EE4F76">
        <w:t> Minimizing glare is critical. Harsh direct light or reflection on surfaces (like paper or light panels used during painting/play) can cause eye strain and distract children. Diffused LED lighting or using light panels that spread illumination evenly can reduce glare and create a visually comfortable environment, supporting longer engagement and focus on activities.</w:t>
      </w:r>
    </w:p>
    <w:p w14:paraId="5C895294" w14:textId="77777777" w:rsidR="00EE4F76" w:rsidRPr="00EE4F76" w:rsidRDefault="00EE4F76" w:rsidP="00EE4F76">
      <w:pPr>
        <w:numPr>
          <w:ilvl w:val="0"/>
          <w:numId w:val="1"/>
        </w:numPr>
      </w:pPr>
      <w:r w:rsidRPr="00EE4F76">
        <w:rPr>
          <w:b/>
          <w:bCs/>
        </w:rPr>
        <w:t>Color Rendering Index (CRI):</w:t>
      </w:r>
      <w:r w:rsidRPr="00EE4F76">
        <w:t> A high CRI (80 or above, ideally 90+) is important in playrooms and art areas to render colors vividly and accurately. This helps children distinguish subtle color differences in paints and materials, which can enhance art creativity and learning about colors.</w:t>
      </w:r>
    </w:p>
    <w:p w14:paraId="1B31E5B0" w14:textId="77777777" w:rsidR="00EE4F76" w:rsidRPr="00EE4F76" w:rsidRDefault="00EE4F76" w:rsidP="00EE4F76">
      <w:pPr>
        <w:numPr>
          <w:ilvl w:val="0"/>
          <w:numId w:val="1"/>
        </w:numPr>
      </w:pPr>
      <w:r w:rsidRPr="00EE4F76">
        <w:rPr>
          <w:b/>
          <w:bCs/>
        </w:rPr>
        <w:t>Uniformity:</w:t>
      </w:r>
      <w:r w:rsidRPr="00EE4F76">
        <w:t> Even distribution of light across the play or painting area is essential to prevent shadows and uneven lighting, which may impede children’s ability to see clearly or distort colors. Uniform LED lighting setups or well-positioned light panels ensure consistent illumination, promoting engagement and comfort</w:t>
      </w:r>
    </w:p>
    <w:p w14:paraId="4EC20460" w14:textId="77777777" w:rsidR="00EE4F76" w:rsidRDefault="00EE4F76" w:rsidP="00EE4F76"/>
    <w:p w14:paraId="6CFDDF74" w14:textId="77777777" w:rsidR="00EE4F76" w:rsidRDefault="00EE4F76" w:rsidP="00EE4F76"/>
    <w:p w14:paraId="59AC7275" w14:textId="77777777" w:rsidR="00EE4F76" w:rsidRDefault="00EE4F76" w:rsidP="00EE4F76"/>
    <w:p w14:paraId="3DFD009E" w14:textId="77777777" w:rsidR="00EE4F76" w:rsidRDefault="00EE4F76" w:rsidP="00EE4F76"/>
    <w:p w14:paraId="54EDC4A8" w14:textId="77777777" w:rsidR="00EE4F76" w:rsidRDefault="00EE4F76" w:rsidP="00EE4F76"/>
    <w:p w14:paraId="0FCCBFA1" w14:textId="77777777" w:rsidR="00EE4F76" w:rsidRDefault="00EE4F76" w:rsidP="00EE4F76"/>
    <w:p w14:paraId="01028F66" w14:textId="77777777" w:rsidR="00EE4F76" w:rsidRDefault="00EE4F76" w:rsidP="00EE4F76"/>
    <w:p w14:paraId="7951FCB5" w14:textId="77777777" w:rsidR="00EE4F76" w:rsidRDefault="00EE4F76" w:rsidP="00EE4F76"/>
    <w:p w14:paraId="3A482210" w14:textId="77777777" w:rsidR="00EE4F76" w:rsidRDefault="00EE4F76" w:rsidP="00EE4F76"/>
    <w:p w14:paraId="11933233" w14:textId="77777777" w:rsidR="00EE4F76" w:rsidRDefault="00EE4F76" w:rsidP="00EE4F76"/>
    <w:p w14:paraId="407849F2" w14:textId="77777777" w:rsidR="00EE4F76" w:rsidRDefault="00EE4F76" w:rsidP="00EE4F76"/>
    <w:p w14:paraId="3AD40603" w14:textId="61B996C3" w:rsidR="00EE4F76" w:rsidRPr="00EE4F76" w:rsidRDefault="00EE4F76" w:rsidP="00EE4F76">
      <w:r w:rsidRPr="00EE4F76">
        <w:lastRenderedPageBreak/>
        <w:t>The relevant standard for lighting in playrooms and nurseries, including LED lighting parameters like lux, glare, CRI, and uniformity, is provided by the European standard </w:t>
      </w:r>
      <w:r w:rsidRPr="00EE4F76">
        <w:rPr>
          <w:b/>
          <w:bCs/>
        </w:rPr>
        <w:t>EN 12464-1:2021</w:t>
      </w:r>
      <w:r w:rsidRPr="00EE4F76">
        <w:t>. Key parameters from this standard for playrooms are:</w:t>
      </w:r>
    </w:p>
    <w:p w14:paraId="72F765F2" w14:textId="77777777" w:rsidR="00EE4F76" w:rsidRPr="00EE4F76" w:rsidRDefault="00EE4F76" w:rsidP="00EE4F76">
      <w:pPr>
        <w:numPr>
          <w:ilvl w:val="0"/>
          <w:numId w:val="2"/>
        </w:numPr>
      </w:pPr>
      <w:r w:rsidRPr="00EE4F76">
        <w:rPr>
          <w:b/>
          <w:bCs/>
        </w:rPr>
        <w:t>Illuminance (Lux):</w:t>
      </w:r>
      <w:r w:rsidRPr="00EE4F76">
        <w:t> 300 to 500 lux</w:t>
      </w:r>
    </w:p>
    <w:p w14:paraId="180EF259" w14:textId="35D925F0" w:rsidR="00EE4F76" w:rsidRPr="00EE4F76" w:rsidRDefault="00EE4F76" w:rsidP="00EE4F76">
      <w:pPr>
        <w:numPr>
          <w:ilvl w:val="0"/>
          <w:numId w:val="2"/>
        </w:numPr>
      </w:pPr>
      <w:r w:rsidRPr="00EE4F76">
        <w:rPr>
          <w:b/>
          <w:bCs/>
        </w:rPr>
        <w:t>Glare Rating (UGR):</w:t>
      </w:r>
      <w:r w:rsidRPr="00EE4F76">
        <w:t xml:space="preserve"> ≤ </w:t>
      </w:r>
      <w:r>
        <w:t>19</w:t>
      </w:r>
    </w:p>
    <w:p w14:paraId="1073F682" w14:textId="77777777" w:rsidR="00EE4F76" w:rsidRPr="00EE4F76" w:rsidRDefault="00EE4F76" w:rsidP="00EE4F76">
      <w:pPr>
        <w:numPr>
          <w:ilvl w:val="0"/>
          <w:numId w:val="2"/>
        </w:numPr>
      </w:pPr>
      <w:r w:rsidRPr="00EE4F76">
        <w:rPr>
          <w:b/>
          <w:bCs/>
        </w:rPr>
        <w:t>Uniformity (U0):</w:t>
      </w:r>
      <w:r w:rsidRPr="00EE4F76">
        <w:t> ≥ 0.4</w:t>
      </w:r>
    </w:p>
    <w:p w14:paraId="4BC49937" w14:textId="77777777" w:rsidR="00EE4F76" w:rsidRPr="00EE4F76" w:rsidRDefault="00EE4F76" w:rsidP="00EE4F76">
      <w:pPr>
        <w:numPr>
          <w:ilvl w:val="0"/>
          <w:numId w:val="2"/>
        </w:numPr>
      </w:pPr>
      <w:r w:rsidRPr="00EE4F76">
        <w:rPr>
          <w:b/>
          <w:bCs/>
        </w:rPr>
        <w:t>Color Rendering Index (Ra):</w:t>
      </w:r>
      <w:r w:rsidRPr="00EE4F76">
        <w:t> ≥ 80 (preferably 90 or above for color accuracy in creative activities)</w:t>
      </w:r>
    </w:p>
    <w:p w14:paraId="5036B177" w14:textId="77777777" w:rsidR="00EE4F76" w:rsidRPr="00EE4F76" w:rsidRDefault="00EE4F76" w:rsidP="00EE4F76">
      <w:pPr>
        <w:numPr>
          <w:ilvl w:val="0"/>
          <w:numId w:val="2"/>
        </w:numPr>
      </w:pPr>
      <w:r w:rsidRPr="00EE4F76">
        <w:rPr>
          <w:b/>
          <w:bCs/>
        </w:rPr>
        <w:t>Specific Notes:</w:t>
      </w:r>
      <w:r w:rsidRPr="00EE4F76">
        <w:t> High luminance should be avoided in viewing directions from below, which can be managed by using diffuse covers on luminaires to reduce glare.</w:t>
      </w:r>
    </w:p>
    <w:p w14:paraId="5D42FDF1" w14:textId="77777777" w:rsidR="00EE4F76" w:rsidRPr="00EE4F76" w:rsidRDefault="00EE4F76" w:rsidP="00EE4F76">
      <w:r w:rsidRPr="00EE4F76">
        <w:t>Additional recommendations for playrooms highlight:</w:t>
      </w:r>
    </w:p>
    <w:p w14:paraId="6E14ECFA" w14:textId="77777777" w:rsidR="00EE4F76" w:rsidRPr="00EE4F76" w:rsidRDefault="00EE4F76" w:rsidP="00EE4F76">
      <w:pPr>
        <w:numPr>
          <w:ilvl w:val="0"/>
          <w:numId w:val="3"/>
        </w:numPr>
      </w:pPr>
      <w:r w:rsidRPr="00EE4F76">
        <w:t>Flexible and adaptable lighting to suit various activities such as relaxation, reading, and art.</w:t>
      </w:r>
    </w:p>
    <w:p w14:paraId="33D41846" w14:textId="77777777" w:rsidR="00EE4F76" w:rsidRPr="00EE4F76" w:rsidRDefault="00EE4F76" w:rsidP="00EE4F76">
      <w:pPr>
        <w:numPr>
          <w:ilvl w:val="0"/>
          <w:numId w:val="3"/>
        </w:numPr>
      </w:pPr>
      <w:r w:rsidRPr="00EE4F76">
        <w:t>Use of tunable white luminaires to alter color temperature, beneficial for children's concentration and reducing hyperactivity.</w:t>
      </w:r>
    </w:p>
    <w:p w14:paraId="6AB40D2B" w14:textId="77777777" w:rsidR="00EE4F76" w:rsidRPr="00EE4F76" w:rsidRDefault="00EE4F76" w:rsidP="00EE4F76">
      <w:pPr>
        <w:numPr>
          <w:ilvl w:val="0"/>
          <w:numId w:val="3"/>
        </w:numPr>
      </w:pPr>
      <w:r w:rsidRPr="00EE4F76">
        <w:t>A recommended color temperature range around 3000K to 4000K to balance comfort and alertness.</w:t>
      </w:r>
    </w:p>
    <w:p w14:paraId="186A1F5D" w14:textId="77777777" w:rsidR="00EE4F76" w:rsidRPr="00EE4F76" w:rsidRDefault="00EE4F76" w:rsidP="00EE4F76">
      <w:pPr>
        <w:numPr>
          <w:ilvl w:val="0"/>
          <w:numId w:val="3"/>
        </w:numPr>
      </w:pPr>
      <w:r w:rsidRPr="00EE4F76">
        <w:t>Avoidance of direct glare through diffusion or indirect lighting methods to enhance visual comfort</w:t>
      </w:r>
    </w:p>
    <w:p w14:paraId="787B8A15" w14:textId="77777777" w:rsidR="00EE4F76" w:rsidRDefault="00EE4F76" w:rsidP="00EE4F76"/>
    <w:p w14:paraId="5E147FCD" w14:textId="77777777" w:rsidR="00EE4F76" w:rsidRDefault="00EE4F76" w:rsidP="00EE4F76"/>
    <w:p w14:paraId="36C63DF2" w14:textId="77777777" w:rsidR="00EE4F76" w:rsidRDefault="00EE4F76" w:rsidP="00EE4F76"/>
    <w:p w14:paraId="23DEE43B" w14:textId="77777777" w:rsidR="00EE4F76" w:rsidRDefault="00EE4F76" w:rsidP="00EE4F76"/>
    <w:p w14:paraId="7A830EEA" w14:textId="77777777" w:rsidR="00EE4F76" w:rsidRDefault="00EE4F76" w:rsidP="00EE4F76"/>
    <w:p w14:paraId="01951CA5" w14:textId="77777777" w:rsidR="00EE4F76" w:rsidRDefault="00EE4F76" w:rsidP="00EE4F76"/>
    <w:p w14:paraId="3DE48C92" w14:textId="77777777" w:rsidR="00EE4F76" w:rsidRDefault="00EE4F76" w:rsidP="00EE4F76"/>
    <w:p w14:paraId="6527D391" w14:textId="77777777" w:rsidR="00EE4F76" w:rsidRDefault="00EE4F76" w:rsidP="00EE4F76"/>
    <w:p w14:paraId="593282EF" w14:textId="77777777" w:rsidR="00EE4F76" w:rsidRDefault="00EE4F76" w:rsidP="00EE4F76"/>
    <w:p w14:paraId="07334E1B" w14:textId="77777777" w:rsidR="00EE4F76" w:rsidRDefault="00EE4F76" w:rsidP="00EE4F76"/>
    <w:p w14:paraId="240F9516" w14:textId="77777777" w:rsidR="00EE4F76" w:rsidRDefault="00EE4F76" w:rsidP="00EE4F76"/>
    <w:p w14:paraId="50079F18" w14:textId="77777777" w:rsidR="00EE4F76" w:rsidRDefault="00EE4F76" w:rsidP="00EE4F76"/>
    <w:p w14:paraId="7C127654" w14:textId="77777777" w:rsidR="00EE4F76" w:rsidRDefault="00EE4F76" w:rsidP="00EE4F76"/>
    <w:p w14:paraId="548871B2" w14:textId="77777777" w:rsidR="00EE4F76" w:rsidRDefault="00EE4F76" w:rsidP="00EE4F76"/>
    <w:tbl>
      <w:tblPr>
        <w:tblW w:w="11031" w:type="dxa"/>
        <w:tblInd w:w="-842" w:type="dxa"/>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1279"/>
        <w:gridCol w:w="1098"/>
        <w:gridCol w:w="1140"/>
        <w:gridCol w:w="917"/>
        <w:gridCol w:w="1359"/>
        <w:gridCol w:w="1172"/>
        <w:gridCol w:w="551"/>
        <w:gridCol w:w="806"/>
        <w:gridCol w:w="1042"/>
        <w:gridCol w:w="1667"/>
      </w:tblGrid>
      <w:tr w:rsidR="00EE4F76" w:rsidRPr="00CA115C" w14:paraId="5EA476E2" w14:textId="77777777" w:rsidTr="002B1390">
        <w:trPr>
          <w:trHeight w:val="513"/>
        </w:trPr>
        <w:tc>
          <w:tcPr>
            <w:tcW w:w="1279"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4D2D7A9E" w14:textId="77777777" w:rsidR="00EE4F76" w:rsidRPr="00CA115C" w:rsidRDefault="00EE4F76" w:rsidP="002B1390">
            <w:pPr>
              <w:rPr>
                <w:sz w:val="28"/>
                <w:szCs w:val="28"/>
              </w:rPr>
            </w:pPr>
            <w:r w:rsidRPr="00CA115C">
              <w:rPr>
                <w:b/>
                <w:bCs/>
                <w:sz w:val="28"/>
                <w:szCs w:val="28"/>
              </w:rPr>
              <w:lastRenderedPageBreak/>
              <w:t>Type of task / activity area</w:t>
            </w:r>
            <w:r w:rsidRPr="00CA115C">
              <w:rPr>
                <w:sz w:val="28"/>
                <w:szCs w:val="28"/>
              </w:rPr>
              <w:br/>
            </w:r>
          </w:p>
        </w:tc>
        <w:tc>
          <w:tcPr>
            <w:tcW w:w="2238"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64C5D5DD" w14:textId="77777777" w:rsidR="00EE4F76" w:rsidRPr="00CA115C" w:rsidRDefault="00EE4F76" w:rsidP="002B1390">
            <w:pPr>
              <w:rPr>
                <w:sz w:val="28"/>
                <w:szCs w:val="28"/>
              </w:rPr>
            </w:pPr>
            <w:r w:rsidRPr="00CA115C">
              <w:rPr>
                <w:b/>
                <w:bCs/>
                <w:sz w:val="28"/>
                <w:szCs w:val="28"/>
              </w:rPr>
              <w:t>Lux-level (E</w:t>
            </w:r>
            <w:r w:rsidRPr="00CA115C">
              <w:rPr>
                <w:b/>
                <w:bCs/>
                <w:sz w:val="28"/>
                <w:szCs w:val="28"/>
                <w:vertAlign w:val="subscript"/>
              </w:rPr>
              <w:t>m</w:t>
            </w:r>
            <w:r w:rsidRPr="00CA115C">
              <w:rPr>
                <w:b/>
                <w:bCs/>
                <w:sz w:val="28"/>
                <w:szCs w:val="28"/>
              </w:rPr>
              <w:t>)</w:t>
            </w:r>
            <w:r w:rsidRPr="00CA115C">
              <w:rPr>
                <w:sz w:val="28"/>
                <w:szCs w:val="28"/>
              </w:rPr>
              <w:br/>
            </w:r>
          </w:p>
        </w:tc>
        <w:tc>
          <w:tcPr>
            <w:tcW w:w="917"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14AA70A8" w14:textId="77777777" w:rsidR="00EE4F76" w:rsidRPr="00CA115C" w:rsidRDefault="00EE4F76" w:rsidP="002B1390">
            <w:pPr>
              <w:rPr>
                <w:sz w:val="28"/>
                <w:szCs w:val="28"/>
              </w:rPr>
            </w:pPr>
            <w:r w:rsidRPr="00CA115C">
              <w:rPr>
                <w:b/>
                <w:bCs/>
                <w:sz w:val="28"/>
                <w:szCs w:val="28"/>
              </w:rPr>
              <w:t>Glare rating (UGR</w:t>
            </w:r>
            <w:r w:rsidRPr="00CA115C">
              <w:rPr>
                <w:b/>
                <w:bCs/>
                <w:sz w:val="28"/>
                <w:szCs w:val="28"/>
                <w:vertAlign w:val="subscript"/>
              </w:rPr>
              <w:t>L</w:t>
            </w:r>
            <w:r w:rsidRPr="00CA115C">
              <w:rPr>
                <w:b/>
                <w:bCs/>
                <w:sz w:val="28"/>
                <w:szCs w:val="28"/>
              </w:rPr>
              <w:t>)</w:t>
            </w:r>
            <w:r w:rsidRPr="00CA115C">
              <w:rPr>
                <w:sz w:val="28"/>
                <w:szCs w:val="28"/>
              </w:rPr>
              <w:br/>
            </w:r>
          </w:p>
        </w:tc>
        <w:tc>
          <w:tcPr>
            <w:tcW w:w="1359"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69B089B0" w14:textId="77777777" w:rsidR="00EE4F76" w:rsidRPr="00CA115C" w:rsidRDefault="00EE4F76" w:rsidP="002B1390">
            <w:pPr>
              <w:rPr>
                <w:sz w:val="28"/>
                <w:szCs w:val="28"/>
              </w:rPr>
            </w:pPr>
            <w:r w:rsidRPr="00CA115C">
              <w:rPr>
                <w:b/>
                <w:bCs/>
                <w:sz w:val="28"/>
                <w:szCs w:val="28"/>
              </w:rPr>
              <w:t>Uniformity</w:t>
            </w:r>
            <w:r w:rsidRPr="00CA115C">
              <w:rPr>
                <w:b/>
                <w:bCs/>
                <w:sz w:val="28"/>
                <w:szCs w:val="28"/>
              </w:rPr>
              <w:br/>
              <w:t>(U</w:t>
            </w:r>
            <w:r w:rsidRPr="00CA115C">
              <w:rPr>
                <w:b/>
                <w:bCs/>
                <w:sz w:val="28"/>
                <w:szCs w:val="28"/>
                <w:vertAlign w:val="subscript"/>
              </w:rPr>
              <w:t>0</w:t>
            </w:r>
            <w:r w:rsidRPr="00CA115C">
              <w:rPr>
                <w:b/>
                <w:bCs/>
                <w:sz w:val="28"/>
                <w:szCs w:val="28"/>
              </w:rPr>
              <w:t>)</w:t>
            </w:r>
            <w:r w:rsidRPr="00CA115C">
              <w:rPr>
                <w:sz w:val="28"/>
                <w:szCs w:val="28"/>
              </w:rPr>
              <w:br/>
            </w:r>
          </w:p>
        </w:tc>
        <w:tc>
          <w:tcPr>
            <w:tcW w:w="1172"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349F08AB" w14:textId="77777777" w:rsidR="00EE4F76" w:rsidRPr="00CA115C" w:rsidRDefault="00EE4F76" w:rsidP="002B1390">
            <w:pPr>
              <w:rPr>
                <w:sz w:val="28"/>
                <w:szCs w:val="28"/>
              </w:rPr>
            </w:pPr>
            <w:proofErr w:type="spellStart"/>
            <w:r w:rsidRPr="00CA115C">
              <w:rPr>
                <w:b/>
                <w:bCs/>
                <w:sz w:val="28"/>
                <w:szCs w:val="28"/>
              </w:rPr>
              <w:t>Colour</w:t>
            </w:r>
            <w:proofErr w:type="spellEnd"/>
            <w:r w:rsidRPr="00CA115C">
              <w:rPr>
                <w:b/>
                <w:bCs/>
                <w:sz w:val="28"/>
                <w:szCs w:val="28"/>
              </w:rPr>
              <w:t xml:space="preserve"> rendition</w:t>
            </w:r>
            <w:r w:rsidRPr="00CA115C">
              <w:rPr>
                <w:b/>
                <w:bCs/>
                <w:sz w:val="28"/>
                <w:szCs w:val="28"/>
              </w:rPr>
              <w:br/>
              <w:t>(R</w:t>
            </w:r>
            <w:r w:rsidRPr="00CA115C">
              <w:rPr>
                <w:b/>
                <w:bCs/>
                <w:sz w:val="28"/>
                <w:szCs w:val="28"/>
                <w:vertAlign w:val="subscript"/>
              </w:rPr>
              <w:t>a</w:t>
            </w:r>
            <w:r w:rsidRPr="00CA115C">
              <w:rPr>
                <w:b/>
                <w:bCs/>
                <w:sz w:val="28"/>
                <w:szCs w:val="28"/>
              </w:rPr>
              <w:t>)</w:t>
            </w:r>
            <w:r w:rsidRPr="00CA115C">
              <w:rPr>
                <w:sz w:val="28"/>
                <w:szCs w:val="28"/>
              </w:rPr>
              <w:br/>
            </w:r>
          </w:p>
        </w:tc>
        <w:tc>
          <w:tcPr>
            <w:tcW w:w="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1C58E5" w14:textId="77777777" w:rsidR="00EE4F76" w:rsidRPr="00CA115C" w:rsidRDefault="00EE4F76" w:rsidP="002B1390">
            <w:pPr>
              <w:rPr>
                <w:sz w:val="28"/>
                <w:szCs w:val="28"/>
              </w:rPr>
            </w:pPr>
            <w:proofErr w:type="spellStart"/>
            <w:proofErr w:type="gramStart"/>
            <w:r w:rsidRPr="00CA115C">
              <w:rPr>
                <w:b/>
                <w:bCs/>
                <w:sz w:val="28"/>
                <w:szCs w:val="28"/>
              </w:rPr>
              <w:t>E</w:t>
            </w:r>
            <w:r w:rsidRPr="00CA115C">
              <w:rPr>
                <w:b/>
                <w:bCs/>
                <w:sz w:val="28"/>
                <w:szCs w:val="28"/>
                <w:vertAlign w:val="subscript"/>
              </w:rPr>
              <w:t>m,z</w:t>
            </w:r>
            <w:proofErr w:type="spellEnd"/>
            <w:proofErr w:type="gramEnd"/>
          </w:p>
        </w:tc>
        <w:tc>
          <w:tcPr>
            <w:tcW w:w="8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8B1BB0" w14:textId="77777777" w:rsidR="00EE4F76" w:rsidRPr="00CA115C" w:rsidRDefault="00EE4F76" w:rsidP="002B1390">
            <w:pPr>
              <w:rPr>
                <w:sz w:val="28"/>
                <w:szCs w:val="28"/>
              </w:rPr>
            </w:pPr>
            <w:proofErr w:type="spellStart"/>
            <w:proofErr w:type="gramStart"/>
            <w:r w:rsidRPr="00CA115C">
              <w:rPr>
                <w:b/>
                <w:bCs/>
                <w:sz w:val="28"/>
                <w:szCs w:val="28"/>
              </w:rPr>
              <w:t>E</w:t>
            </w:r>
            <w:r w:rsidRPr="00CA115C">
              <w:rPr>
                <w:b/>
                <w:bCs/>
                <w:sz w:val="28"/>
                <w:szCs w:val="28"/>
                <w:vertAlign w:val="subscript"/>
              </w:rPr>
              <w:t>m,wall</w:t>
            </w:r>
            <w:proofErr w:type="spellEnd"/>
            <w:proofErr w:type="gramEnd"/>
          </w:p>
        </w:tc>
        <w:tc>
          <w:tcPr>
            <w:tcW w:w="10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B20841" w14:textId="77777777" w:rsidR="00EE4F76" w:rsidRPr="00CA115C" w:rsidRDefault="00EE4F76" w:rsidP="002B1390">
            <w:pPr>
              <w:rPr>
                <w:sz w:val="28"/>
                <w:szCs w:val="28"/>
              </w:rPr>
            </w:pPr>
            <w:proofErr w:type="spellStart"/>
            <w:proofErr w:type="gramStart"/>
            <w:r w:rsidRPr="00CA115C">
              <w:rPr>
                <w:b/>
                <w:bCs/>
                <w:sz w:val="28"/>
                <w:szCs w:val="28"/>
              </w:rPr>
              <w:t>E</w:t>
            </w:r>
            <w:r w:rsidRPr="00CA115C">
              <w:rPr>
                <w:b/>
                <w:bCs/>
                <w:sz w:val="28"/>
                <w:szCs w:val="28"/>
                <w:vertAlign w:val="subscript"/>
              </w:rPr>
              <w:t>m,ceiling</w:t>
            </w:r>
            <w:proofErr w:type="spellEnd"/>
            <w:proofErr w:type="gramEnd"/>
            <w:r w:rsidRPr="00CA115C">
              <w:rPr>
                <w:b/>
                <w:bCs/>
                <w:sz w:val="28"/>
                <w:szCs w:val="28"/>
                <w:vertAlign w:val="subscript"/>
              </w:rPr>
              <w:t> </w:t>
            </w:r>
          </w:p>
        </w:tc>
        <w:tc>
          <w:tcPr>
            <w:tcW w:w="1667"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5DF36CDE" w14:textId="77777777" w:rsidR="00EE4F76" w:rsidRPr="00CA115C" w:rsidRDefault="00EE4F76" w:rsidP="002B1390">
            <w:pPr>
              <w:rPr>
                <w:sz w:val="28"/>
                <w:szCs w:val="28"/>
              </w:rPr>
            </w:pPr>
            <w:r w:rsidRPr="00CA115C">
              <w:rPr>
                <w:b/>
                <w:bCs/>
                <w:sz w:val="28"/>
                <w:szCs w:val="28"/>
              </w:rPr>
              <w:t>Specific requirements</w:t>
            </w:r>
            <w:r w:rsidRPr="00CA115C">
              <w:rPr>
                <w:sz w:val="28"/>
                <w:szCs w:val="28"/>
              </w:rPr>
              <w:br/>
            </w:r>
          </w:p>
        </w:tc>
      </w:tr>
      <w:tr w:rsidR="00A6477F" w:rsidRPr="00CA115C" w14:paraId="269F73E5" w14:textId="77777777" w:rsidTr="002B1390">
        <w:trPr>
          <w:trHeight w:val="128"/>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671AE11" w14:textId="77777777" w:rsidR="00EE4F76" w:rsidRPr="00CA115C" w:rsidRDefault="00EE4F76" w:rsidP="002B1390">
            <w:pPr>
              <w:rPr>
                <w:sz w:val="28"/>
                <w:szCs w:val="28"/>
              </w:rPr>
            </w:pPr>
          </w:p>
        </w:tc>
        <w:tc>
          <w:tcPr>
            <w:tcW w:w="10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2FA695" w14:textId="77777777" w:rsidR="00EE4F76" w:rsidRPr="00CA115C" w:rsidRDefault="00EE4F76" w:rsidP="002B1390">
            <w:pPr>
              <w:rPr>
                <w:sz w:val="28"/>
                <w:szCs w:val="28"/>
              </w:rPr>
            </w:pPr>
            <w:r w:rsidRPr="00CA115C">
              <w:rPr>
                <w:b/>
                <w:bCs/>
                <w:sz w:val="28"/>
                <w:szCs w:val="28"/>
              </w:rPr>
              <w:t>required</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1664E3" w14:textId="77777777" w:rsidR="00EE4F76" w:rsidRPr="00CA115C" w:rsidRDefault="00EE4F76" w:rsidP="002B1390">
            <w:pPr>
              <w:rPr>
                <w:sz w:val="28"/>
                <w:szCs w:val="28"/>
              </w:rPr>
            </w:pPr>
            <w:r w:rsidRPr="00CA115C">
              <w:rPr>
                <w:b/>
                <w:bCs/>
                <w:sz w:val="28"/>
                <w:szCs w:val="28"/>
              </w:rPr>
              <w:t>modified</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B29529A" w14:textId="77777777" w:rsidR="00EE4F76" w:rsidRPr="00CA115C" w:rsidRDefault="00EE4F76" w:rsidP="002B1390">
            <w:pPr>
              <w:rPr>
                <w:sz w:val="28"/>
                <w:szCs w:val="28"/>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B529445" w14:textId="77777777" w:rsidR="00EE4F76" w:rsidRPr="00CA115C" w:rsidRDefault="00EE4F76" w:rsidP="002B1390">
            <w:pPr>
              <w:rPr>
                <w:sz w:val="28"/>
                <w:szCs w:val="28"/>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4A0EE8FE" w14:textId="77777777" w:rsidR="00EE4F76" w:rsidRPr="00CA115C" w:rsidRDefault="00EE4F76" w:rsidP="002B1390">
            <w:pPr>
              <w:rPr>
                <w:sz w:val="28"/>
                <w:szCs w:val="28"/>
              </w:rPr>
            </w:pPr>
          </w:p>
        </w:tc>
        <w:tc>
          <w:tcPr>
            <w:tcW w:w="2399"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390D2E84" w14:textId="77777777" w:rsidR="00EE4F76" w:rsidRPr="00CA115C" w:rsidRDefault="00EE4F76" w:rsidP="002B1390">
            <w:pPr>
              <w:rPr>
                <w:sz w:val="28"/>
                <w:szCs w:val="28"/>
              </w:rPr>
            </w:pPr>
            <w:r w:rsidRPr="00CA115C">
              <w:rPr>
                <w:b/>
                <w:bCs/>
                <w:sz w:val="28"/>
                <w:szCs w:val="28"/>
              </w:rPr>
              <w:t>U</w:t>
            </w:r>
            <w:r w:rsidRPr="00CA115C">
              <w:rPr>
                <w:b/>
                <w:bCs/>
                <w:sz w:val="28"/>
                <w:szCs w:val="28"/>
                <w:vertAlign w:val="subscript"/>
              </w:rPr>
              <w:t>0 </w:t>
            </w:r>
            <w:r w:rsidRPr="00CA115C">
              <w:rPr>
                <w:sz w:val="28"/>
                <w:szCs w:val="28"/>
              </w:rPr>
              <w:t>≥ 0,10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49BE5A6A" w14:textId="77777777" w:rsidR="00EE4F76" w:rsidRPr="00CA115C" w:rsidRDefault="00EE4F76" w:rsidP="002B1390">
            <w:pPr>
              <w:rPr>
                <w:sz w:val="28"/>
                <w:szCs w:val="28"/>
              </w:rPr>
            </w:pPr>
          </w:p>
        </w:tc>
      </w:tr>
      <w:tr w:rsidR="00EE4F76" w:rsidRPr="00CA115C" w14:paraId="7ABED2B0" w14:textId="77777777" w:rsidTr="002B1390">
        <w:trPr>
          <w:trHeight w:val="227"/>
        </w:trPr>
        <w:tc>
          <w:tcPr>
            <w:tcW w:w="12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2DD46F" w14:textId="77777777" w:rsidR="00EE4F76" w:rsidRPr="00CA115C" w:rsidRDefault="00EE4F76" w:rsidP="002B1390">
            <w:pPr>
              <w:rPr>
                <w:sz w:val="28"/>
                <w:szCs w:val="28"/>
              </w:rPr>
            </w:pPr>
            <w:r w:rsidRPr="00CA115C">
              <w:rPr>
                <w:sz w:val="28"/>
                <w:szCs w:val="28"/>
              </w:rPr>
              <w:t>Play room</w:t>
            </w:r>
          </w:p>
        </w:tc>
        <w:tc>
          <w:tcPr>
            <w:tcW w:w="10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3B81A9" w14:textId="77777777" w:rsidR="00EE4F76" w:rsidRPr="00CA115C" w:rsidRDefault="00EE4F76" w:rsidP="002B1390">
            <w:pPr>
              <w:rPr>
                <w:sz w:val="28"/>
                <w:szCs w:val="28"/>
              </w:rPr>
            </w:pPr>
            <w:r w:rsidRPr="00CA115C">
              <w:rPr>
                <w:sz w:val="28"/>
                <w:szCs w:val="28"/>
              </w:rPr>
              <w:t>300</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EA1A58" w14:textId="77777777" w:rsidR="00EE4F76" w:rsidRPr="00CA115C" w:rsidRDefault="00EE4F76" w:rsidP="002B1390">
            <w:pPr>
              <w:rPr>
                <w:sz w:val="28"/>
                <w:szCs w:val="28"/>
              </w:rPr>
            </w:pPr>
            <w:r w:rsidRPr="00CA115C">
              <w:rPr>
                <w:sz w:val="28"/>
                <w:szCs w:val="28"/>
              </w:rPr>
              <w:t>500</w:t>
            </w:r>
          </w:p>
        </w:tc>
        <w:tc>
          <w:tcPr>
            <w:tcW w:w="91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0175AB" w14:textId="77777777" w:rsidR="00EE4F76" w:rsidRPr="00CA115C" w:rsidRDefault="00EE4F76" w:rsidP="002B1390">
            <w:pPr>
              <w:rPr>
                <w:sz w:val="28"/>
                <w:szCs w:val="28"/>
              </w:rPr>
            </w:pPr>
            <w:r w:rsidRPr="00CA115C">
              <w:rPr>
                <w:sz w:val="28"/>
                <w:szCs w:val="28"/>
              </w:rPr>
              <w:t>22</w:t>
            </w:r>
          </w:p>
        </w:tc>
        <w:tc>
          <w:tcPr>
            <w:tcW w:w="13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0BD07A" w14:textId="77777777" w:rsidR="00EE4F76" w:rsidRPr="00CA115C" w:rsidRDefault="00EE4F76" w:rsidP="002B1390">
            <w:pPr>
              <w:rPr>
                <w:sz w:val="28"/>
                <w:szCs w:val="28"/>
              </w:rPr>
            </w:pPr>
            <w:r w:rsidRPr="00CA115C">
              <w:rPr>
                <w:sz w:val="28"/>
                <w:szCs w:val="28"/>
              </w:rPr>
              <w:t>0,40</w:t>
            </w:r>
          </w:p>
        </w:tc>
        <w:tc>
          <w:tcPr>
            <w:tcW w:w="11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49AA5E" w14:textId="77777777" w:rsidR="00EE4F76" w:rsidRPr="00CA115C" w:rsidRDefault="00EE4F76" w:rsidP="002B1390">
            <w:pPr>
              <w:rPr>
                <w:sz w:val="28"/>
                <w:szCs w:val="28"/>
              </w:rPr>
            </w:pPr>
            <w:r w:rsidRPr="00CA115C">
              <w:rPr>
                <w:sz w:val="28"/>
                <w:szCs w:val="28"/>
              </w:rPr>
              <w:t>80</w:t>
            </w:r>
          </w:p>
        </w:tc>
        <w:tc>
          <w:tcPr>
            <w:tcW w:w="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19AE04" w14:textId="77777777" w:rsidR="00EE4F76" w:rsidRPr="00CA115C" w:rsidRDefault="00EE4F76" w:rsidP="002B1390">
            <w:pPr>
              <w:rPr>
                <w:sz w:val="28"/>
                <w:szCs w:val="28"/>
              </w:rPr>
            </w:pPr>
            <w:r w:rsidRPr="00CA115C">
              <w:rPr>
                <w:sz w:val="28"/>
                <w:szCs w:val="28"/>
              </w:rPr>
              <w:t>100</w:t>
            </w:r>
          </w:p>
        </w:tc>
        <w:tc>
          <w:tcPr>
            <w:tcW w:w="8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35AF6F" w14:textId="77777777" w:rsidR="00EE4F76" w:rsidRPr="00CA115C" w:rsidRDefault="00EE4F76" w:rsidP="002B1390">
            <w:pPr>
              <w:rPr>
                <w:sz w:val="28"/>
                <w:szCs w:val="28"/>
              </w:rPr>
            </w:pPr>
            <w:r w:rsidRPr="00CA115C">
              <w:rPr>
                <w:sz w:val="28"/>
                <w:szCs w:val="28"/>
              </w:rPr>
              <w:t>100</w:t>
            </w:r>
          </w:p>
        </w:tc>
        <w:tc>
          <w:tcPr>
            <w:tcW w:w="10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982950" w14:textId="77777777" w:rsidR="00EE4F76" w:rsidRPr="00CA115C" w:rsidRDefault="00EE4F76" w:rsidP="002B1390">
            <w:pPr>
              <w:rPr>
                <w:sz w:val="28"/>
                <w:szCs w:val="28"/>
              </w:rPr>
            </w:pPr>
            <w:r w:rsidRPr="00CA115C">
              <w:rPr>
                <w:sz w:val="28"/>
                <w:szCs w:val="28"/>
              </w:rPr>
              <w:t>75</w:t>
            </w:r>
          </w:p>
        </w:tc>
        <w:tc>
          <w:tcPr>
            <w:tcW w:w="166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75C2CD" w14:textId="77777777" w:rsidR="00EE4F76" w:rsidRPr="00CA115C" w:rsidRDefault="00EE4F76" w:rsidP="002B1390">
            <w:pPr>
              <w:rPr>
                <w:sz w:val="28"/>
                <w:szCs w:val="28"/>
              </w:rPr>
            </w:pPr>
            <w:r w:rsidRPr="00CA115C">
              <w:rPr>
                <w:sz w:val="28"/>
                <w:szCs w:val="28"/>
              </w:rPr>
              <w:t xml:space="preserve">High </w:t>
            </w:r>
            <w:proofErr w:type="spellStart"/>
            <w:r w:rsidRPr="00CA115C">
              <w:rPr>
                <w:sz w:val="28"/>
                <w:szCs w:val="28"/>
              </w:rPr>
              <w:t>luminances</w:t>
            </w:r>
            <w:proofErr w:type="spellEnd"/>
            <w:r w:rsidRPr="00CA115C">
              <w:rPr>
                <w:sz w:val="28"/>
                <w:szCs w:val="28"/>
              </w:rPr>
              <w:t xml:space="preserve"> should be avoided </w:t>
            </w:r>
            <w:proofErr w:type="gramStart"/>
            <w:r w:rsidRPr="00CA115C">
              <w:rPr>
                <w:sz w:val="28"/>
                <w:szCs w:val="28"/>
              </w:rPr>
              <w:t>in  viewing</w:t>
            </w:r>
            <w:proofErr w:type="gramEnd"/>
            <w:r w:rsidRPr="00CA115C">
              <w:rPr>
                <w:sz w:val="28"/>
                <w:szCs w:val="28"/>
              </w:rPr>
              <w:t xml:space="preserve"> directions from below by use of diffuse covers</w:t>
            </w:r>
          </w:p>
        </w:tc>
      </w:tr>
      <w:tr w:rsidR="00EE4F76" w:rsidRPr="00CA115C" w14:paraId="6FF5FC09" w14:textId="77777777" w:rsidTr="002B1390">
        <w:trPr>
          <w:trHeight w:val="227"/>
        </w:trPr>
        <w:tc>
          <w:tcPr>
            <w:tcW w:w="12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A5AE31" w14:textId="77777777" w:rsidR="00EE4F76" w:rsidRPr="00CA115C" w:rsidRDefault="00EE4F76" w:rsidP="002B1390">
            <w:pPr>
              <w:rPr>
                <w:sz w:val="28"/>
                <w:szCs w:val="28"/>
              </w:rPr>
            </w:pPr>
            <w:r w:rsidRPr="00CA115C">
              <w:rPr>
                <w:sz w:val="28"/>
                <w:szCs w:val="28"/>
              </w:rPr>
              <w:t>Nursery</w:t>
            </w:r>
          </w:p>
        </w:tc>
        <w:tc>
          <w:tcPr>
            <w:tcW w:w="10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1848C5" w14:textId="77777777" w:rsidR="00EE4F76" w:rsidRPr="00CA115C" w:rsidRDefault="00EE4F76" w:rsidP="002B1390">
            <w:pPr>
              <w:rPr>
                <w:sz w:val="28"/>
                <w:szCs w:val="28"/>
              </w:rPr>
            </w:pPr>
            <w:r w:rsidRPr="00CA115C">
              <w:rPr>
                <w:sz w:val="28"/>
                <w:szCs w:val="28"/>
              </w:rPr>
              <w:t>300</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AC8587" w14:textId="77777777" w:rsidR="00EE4F76" w:rsidRPr="00CA115C" w:rsidRDefault="00EE4F76" w:rsidP="002B1390">
            <w:pPr>
              <w:rPr>
                <w:sz w:val="28"/>
                <w:szCs w:val="28"/>
              </w:rPr>
            </w:pPr>
            <w:r w:rsidRPr="00CA115C">
              <w:rPr>
                <w:sz w:val="28"/>
                <w:szCs w:val="28"/>
              </w:rPr>
              <w:t>500</w:t>
            </w:r>
          </w:p>
        </w:tc>
        <w:tc>
          <w:tcPr>
            <w:tcW w:w="91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8B95B0" w14:textId="77777777" w:rsidR="00EE4F76" w:rsidRPr="00CA115C" w:rsidRDefault="00EE4F76" w:rsidP="002B1390">
            <w:pPr>
              <w:rPr>
                <w:sz w:val="28"/>
                <w:szCs w:val="28"/>
              </w:rPr>
            </w:pPr>
            <w:r w:rsidRPr="00CA115C">
              <w:rPr>
                <w:sz w:val="28"/>
                <w:szCs w:val="28"/>
              </w:rPr>
              <w:t>22</w:t>
            </w:r>
          </w:p>
        </w:tc>
        <w:tc>
          <w:tcPr>
            <w:tcW w:w="13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FA4E56" w14:textId="77777777" w:rsidR="00EE4F76" w:rsidRPr="00CA115C" w:rsidRDefault="00EE4F76" w:rsidP="002B1390">
            <w:pPr>
              <w:rPr>
                <w:sz w:val="28"/>
                <w:szCs w:val="28"/>
              </w:rPr>
            </w:pPr>
            <w:r w:rsidRPr="00CA115C">
              <w:rPr>
                <w:sz w:val="28"/>
                <w:szCs w:val="28"/>
              </w:rPr>
              <w:t>0,40</w:t>
            </w:r>
          </w:p>
        </w:tc>
        <w:tc>
          <w:tcPr>
            <w:tcW w:w="11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9C2B6F" w14:textId="77777777" w:rsidR="00EE4F76" w:rsidRPr="00CA115C" w:rsidRDefault="00EE4F76" w:rsidP="002B1390">
            <w:pPr>
              <w:rPr>
                <w:sz w:val="28"/>
                <w:szCs w:val="28"/>
              </w:rPr>
            </w:pPr>
            <w:r w:rsidRPr="00CA115C">
              <w:rPr>
                <w:sz w:val="28"/>
                <w:szCs w:val="28"/>
              </w:rPr>
              <w:t>80</w:t>
            </w:r>
          </w:p>
        </w:tc>
        <w:tc>
          <w:tcPr>
            <w:tcW w:w="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3B1446" w14:textId="77777777" w:rsidR="00EE4F76" w:rsidRPr="00CA115C" w:rsidRDefault="00EE4F76" w:rsidP="002B1390">
            <w:pPr>
              <w:rPr>
                <w:sz w:val="28"/>
                <w:szCs w:val="28"/>
              </w:rPr>
            </w:pPr>
            <w:r w:rsidRPr="00CA115C">
              <w:rPr>
                <w:sz w:val="28"/>
                <w:szCs w:val="28"/>
              </w:rPr>
              <w:t>100</w:t>
            </w:r>
          </w:p>
        </w:tc>
        <w:tc>
          <w:tcPr>
            <w:tcW w:w="8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8577D4" w14:textId="77777777" w:rsidR="00EE4F76" w:rsidRPr="00CA115C" w:rsidRDefault="00EE4F76" w:rsidP="002B1390">
            <w:pPr>
              <w:rPr>
                <w:sz w:val="28"/>
                <w:szCs w:val="28"/>
              </w:rPr>
            </w:pPr>
            <w:r w:rsidRPr="00CA115C">
              <w:rPr>
                <w:sz w:val="28"/>
                <w:szCs w:val="28"/>
              </w:rPr>
              <w:t>100</w:t>
            </w:r>
          </w:p>
        </w:tc>
        <w:tc>
          <w:tcPr>
            <w:tcW w:w="10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52D4E8" w14:textId="77777777" w:rsidR="00EE4F76" w:rsidRPr="00CA115C" w:rsidRDefault="00EE4F76" w:rsidP="002B1390">
            <w:pPr>
              <w:rPr>
                <w:sz w:val="28"/>
                <w:szCs w:val="28"/>
              </w:rPr>
            </w:pPr>
            <w:r w:rsidRPr="00CA115C">
              <w:rPr>
                <w:sz w:val="28"/>
                <w:szCs w:val="28"/>
              </w:rPr>
              <w:t>75</w:t>
            </w:r>
          </w:p>
        </w:tc>
        <w:tc>
          <w:tcPr>
            <w:tcW w:w="166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BEC0C4" w14:textId="77777777" w:rsidR="00EE4F76" w:rsidRPr="00CA115C" w:rsidRDefault="00EE4F76" w:rsidP="002B1390">
            <w:pPr>
              <w:rPr>
                <w:sz w:val="28"/>
                <w:szCs w:val="28"/>
              </w:rPr>
            </w:pPr>
            <w:r w:rsidRPr="00CA115C">
              <w:rPr>
                <w:sz w:val="28"/>
                <w:szCs w:val="28"/>
              </w:rPr>
              <w:t xml:space="preserve">High </w:t>
            </w:r>
            <w:proofErr w:type="spellStart"/>
            <w:r w:rsidRPr="00CA115C">
              <w:rPr>
                <w:sz w:val="28"/>
                <w:szCs w:val="28"/>
              </w:rPr>
              <w:t>luminances</w:t>
            </w:r>
            <w:proofErr w:type="spellEnd"/>
            <w:r w:rsidRPr="00CA115C">
              <w:rPr>
                <w:sz w:val="28"/>
                <w:szCs w:val="28"/>
              </w:rPr>
              <w:t xml:space="preserve"> should be avoided </w:t>
            </w:r>
            <w:proofErr w:type="gramStart"/>
            <w:r w:rsidRPr="00CA115C">
              <w:rPr>
                <w:sz w:val="28"/>
                <w:szCs w:val="28"/>
              </w:rPr>
              <w:t>in  viewing</w:t>
            </w:r>
            <w:proofErr w:type="gramEnd"/>
            <w:r w:rsidRPr="00CA115C">
              <w:rPr>
                <w:sz w:val="28"/>
                <w:szCs w:val="28"/>
              </w:rPr>
              <w:t xml:space="preserve"> directions from below by use of diffuse covers</w:t>
            </w:r>
          </w:p>
        </w:tc>
      </w:tr>
      <w:tr w:rsidR="00EE4F76" w:rsidRPr="00CA115C" w14:paraId="3D90D485" w14:textId="77777777" w:rsidTr="002B1390">
        <w:trPr>
          <w:trHeight w:val="227"/>
        </w:trPr>
        <w:tc>
          <w:tcPr>
            <w:tcW w:w="12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D2E77F" w14:textId="77777777" w:rsidR="00EE4F76" w:rsidRPr="00CA115C" w:rsidRDefault="00EE4F76" w:rsidP="002B1390">
            <w:pPr>
              <w:rPr>
                <w:sz w:val="28"/>
                <w:szCs w:val="28"/>
              </w:rPr>
            </w:pPr>
            <w:r w:rsidRPr="00CA115C">
              <w:rPr>
                <w:sz w:val="28"/>
                <w:szCs w:val="28"/>
              </w:rPr>
              <w:t>Handicraft room</w:t>
            </w:r>
          </w:p>
        </w:tc>
        <w:tc>
          <w:tcPr>
            <w:tcW w:w="10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07C14A" w14:textId="77777777" w:rsidR="00EE4F76" w:rsidRPr="00CA115C" w:rsidRDefault="00EE4F76" w:rsidP="002B1390">
            <w:pPr>
              <w:rPr>
                <w:sz w:val="28"/>
                <w:szCs w:val="28"/>
              </w:rPr>
            </w:pPr>
            <w:r w:rsidRPr="00CA115C">
              <w:rPr>
                <w:sz w:val="28"/>
                <w:szCs w:val="28"/>
              </w:rPr>
              <w:t>300</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8EF8AA" w14:textId="77777777" w:rsidR="00EE4F76" w:rsidRPr="00CA115C" w:rsidRDefault="00EE4F76" w:rsidP="002B1390">
            <w:pPr>
              <w:rPr>
                <w:sz w:val="28"/>
                <w:szCs w:val="28"/>
              </w:rPr>
            </w:pPr>
            <w:r w:rsidRPr="00CA115C">
              <w:rPr>
                <w:sz w:val="28"/>
                <w:szCs w:val="28"/>
              </w:rPr>
              <w:t>500</w:t>
            </w:r>
          </w:p>
        </w:tc>
        <w:tc>
          <w:tcPr>
            <w:tcW w:w="91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E68839" w14:textId="77777777" w:rsidR="00EE4F76" w:rsidRPr="00CA115C" w:rsidRDefault="00EE4F76" w:rsidP="002B1390">
            <w:pPr>
              <w:rPr>
                <w:sz w:val="28"/>
                <w:szCs w:val="28"/>
              </w:rPr>
            </w:pPr>
            <w:r w:rsidRPr="00CA115C">
              <w:rPr>
                <w:sz w:val="28"/>
                <w:szCs w:val="28"/>
              </w:rPr>
              <w:t>19</w:t>
            </w:r>
          </w:p>
        </w:tc>
        <w:tc>
          <w:tcPr>
            <w:tcW w:w="135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04ACEE" w14:textId="77777777" w:rsidR="00EE4F76" w:rsidRPr="00CA115C" w:rsidRDefault="00EE4F76" w:rsidP="002B1390">
            <w:pPr>
              <w:rPr>
                <w:sz w:val="28"/>
                <w:szCs w:val="28"/>
              </w:rPr>
            </w:pPr>
            <w:r w:rsidRPr="00CA115C">
              <w:rPr>
                <w:sz w:val="28"/>
                <w:szCs w:val="28"/>
              </w:rPr>
              <w:t>0,60</w:t>
            </w:r>
          </w:p>
        </w:tc>
        <w:tc>
          <w:tcPr>
            <w:tcW w:w="11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6ADF1B" w14:textId="77777777" w:rsidR="00EE4F76" w:rsidRPr="00CA115C" w:rsidRDefault="00EE4F76" w:rsidP="002B1390">
            <w:pPr>
              <w:rPr>
                <w:sz w:val="28"/>
                <w:szCs w:val="28"/>
              </w:rPr>
            </w:pPr>
            <w:r w:rsidRPr="00CA115C">
              <w:rPr>
                <w:sz w:val="28"/>
                <w:szCs w:val="28"/>
              </w:rPr>
              <w:t>80</w:t>
            </w:r>
          </w:p>
        </w:tc>
        <w:tc>
          <w:tcPr>
            <w:tcW w:w="5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FDF4EF" w14:textId="77777777" w:rsidR="00EE4F76" w:rsidRPr="00CA115C" w:rsidRDefault="00EE4F76" w:rsidP="002B1390">
            <w:pPr>
              <w:rPr>
                <w:sz w:val="28"/>
                <w:szCs w:val="28"/>
              </w:rPr>
            </w:pPr>
            <w:r w:rsidRPr="00CA115C">
              <w:rPr>
                <w:sz w:val="28"/>
                <w:szCs w:val="28"/>
              </w:rPr>
              <w:t>100</w:t>
            </w:r>
          </w:p>
        </w:tc>
        <w:tc>
          <w:tcPr>
            <w:tcW w:w="8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AA64C5" w14:textId="77777777" w:rsidR="00EE4F76" w:rsidRPr="00CA115C" w:rsidRDefault="00EE4F76" w:rsidP="002B1390">
            <w:pPr>
              <w:rPr>
                <w:sz w:val="28"/>
                <w:szCs w:val="28"/>
              </w:rPr>
            </w:pPr>
            <w:r w:rsidRPr="00CA115C">
              <w:rPr>
                <w:sz w:val="28"/>
                <w:szCs w:val="28"/>
              </w:rPr>
              <w:t>100</w:t>
            </w:r>
          </w:p>
        </w:tc>
        <w:tc>
          <w:tcPr>
            <w:tcW w:w="10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E89B6F" w14:textId="77777777" w:rsidR="00EE4F76" w:rsidRPr="00CA115C" w:rsidRDefault="00EE4F76" w:rsidP="002B1390">
            <w:pPr>
              <w:rPr>
                <w:sz w:val="28"/>
                <w:szCs w:val="28"/>
              </w:rPr>
            </w:pPr>
            <w:r w:rsidRPr="00CA115C">
              <w:rPr>
                <w:sz w:val="28"/>
                <w:szCs w:val="28"/>
              </w:rPr>
              <w:t>75</w:t>
            </w:r>
          </w:p>
        </w:tc>
        <w:tc>
          <w:tcPr>
            <w:tcW w:w="166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9F97D7" w14:textId="77777777" w:rsidR="00EE4F76" w:rsidRPr="00CA115C" w:rsidRDefault="00EE4F76" w:rsidP="002B1390">
            <w:pPr>
              <w:rPr>
                <w:sz w:val="28"/>
                <w:szCs w:val="28"/>
              </w:rPr>
            </w:pPr>
            <w:r w:rsidRPr="00CA115C">
              <w:rPr>
                <w:sz w:val="28"/>
                <w:szCs w:val="28"/>
              </w:rPr>
              <w:t>Illuminance at floor level</w:t>
            </w:r>
          </w:p>
        </w:tc>
      </w:tr>
    </w:tbl>
    <w:p w14:paraId="4268E532" w14:textId="77777777" w:rsidR="00EE4F76" w:rsidRDefault="00EE4F76" w:rsidP="00EE4F76"/>
    <w:p w14:paraId="2CE3F752" w14:textId="77777777" w:rsidR="00A6477F" w:rsidRDefault="00A6477F" w:rsidP="00EE4F76"/>
    <w:p w14:paraId="018BF24A" w14:textId="77777777" w:rsidR="00A6477F" w:rsidRDefault="00A6477F" w:rsidP="00EE4F76"/>
    <w:p w14:paraId="0F7A13CA" w14:textId="77777777" w:rsidR="00A6477F" w:rsidRDefault="00A6477F" w:rsidP="00EE4F76"/>
    <w:p w14:paraId="51372D0A" w14:textId="77777777" w:rsidR="00A6477F" w:rsidRDefault="00A6477F" w:rsidP="00EE4F76"/>
    <w:p w14:paraId="22CEEC60" w14:textId="77777777" w:rsidR="00A6477F" w:rsidRDefault="00A6477F" w:rsidP="00EE4F76"/>
    <w:p w14:paraId="274188DA" w14:textId="77777777" w:rsidR="00A6477F" w:rsidRDefault="00A6477F" w:rsidP="00EE4F76"/>
    <w:p w14:paraId="6306FF6E" w14:textId="77777777" w:rsidR="00A6477F" w:rsidRDefault="00A6477F" w:rsidP="00EE4F76"/>
    <w:tbl>
      <w:tblPr>
        <w:tblpPr w:leftFromText="180" w:rightFromText="180" w:vertAnchor="text" w:horzAnchor="margin" w:tblpXSpec="center" w:tblpY="757"/>
        <w:tblW w:w="11763" w:type="dxa"/>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1698"/>
        <w:gridCol w:w="1148"/>
        <w:gridCol w:w="1157"/>
        <w:gridCol w:w="1063"/>
        <w:gridCol w:w="1485"/>
        <w:gridCol w:w="1168"/>
        <w:gridCol w:w="560"/>
        <w:gridCol w:w="804"/>
        <w:gridCol w:w="1014"/>
        <w:gridCol w:w="1666"/>
      </w:tblGrid>
      <w:tr w:rsidR="00A6477F" w:rsidRPr="00CA115C" w14:paraId="70B21514" w14:textId="77777777" w:rsidTr="002B1390">
        <w:trPr>
          <w:trHeight w:val="491"/>
        </w:trPr>
        <w:tc>
          <w:tcPr>
            <w:tcW w:w="1767"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1D2C744F" w14:textId="77777777" w:rsidR="00A6477F" w:rsidRPr="00CA115C" w:rsidRDefault="00A6477F" w:rsidP="002B1390">
            <w:pPr>
              <w:rPr>
                <w:sz w:val="28"/>
                <w:szCs w:val="28"/>
              </w:rPr>
            </w:pPr>
            <w:r w:rsidRPr="00CA115C">
              <w:rPr>
                <w:b/>
                <w:bCs/>
                <w:sz w:val="28"/>
                <w:szCs w:val="28"/>
              </w:rPr>
              <w:t>Type of task / activity area</w:t>
            </w:r>
            <w:r w:rsidRPr="00CA115C">
              <w:rPr>
                <w:sz w:val="28"/>
                <w:szCs w:val="28"/>
              </w:rPr>
              <w:br/>
            </w:r>
          </w:p>
        </w:tc>
        <w:tc>
          <w:tcPr>
            <w:tcW w:w="2207"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4D76C973" w14:textId="77777777" w:rsidR="00A6477F" w:rsidRPr="00CA115C" w:rsidRDefault="00A6477F" w:rsidP="002B1390">
            <w:pPr>
              <w:rPr>
                <w:sz w:val="28"/>
                <w:szCs w:val="28"/>
              </w:rPr>
            </w:pPr>
            <w:r w:rsidRPr="00CA115C">
              <w:rPr>
                <w:b/>
                <w:bCs/>
                <w:sz w:val="28"/>
                <w:szCs w:val="28"/>
              </w:rPr>
              <w:t>Lux-level (E</w:t>
            </w:r>
            <w:r w:rsidRPr="00CA115C">
              <w:rPr>
                <w:b/>
                <w:bCs/>
                <w:sz w:val="28"/>
                <w:szCs w:val="28"/>
                <w:vertAlign w:val="subscript"/>
              </w:rPr>
              <w:t>m</w:t>
            </w:r>
            <w:r w:rsidRPr="00CA115C">
              <w:rPr>
                <w:b/>
                <w:bCs/>
                <w:sz w:val="28"/>
                <w:szCs w:val="28"/>
              </w:rPr>
              <w:t>)</w:t>
            </w:r>
            <w:r w:rsidRPr="00CA115C">
              <w:rPr>
                <w:sz w:val="28"/>
                <w:szCs w:val="28"/>
              </w:rPr>
              <w:br/>
            </w:r>
          </w:p>
        </w:tc>
        <w:tc>
          <w:tcPr>
            <w:tcW w:w="1129"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611B16F1" w14:textId="77777777" w:rsidR="00A6477F" w:rsidRPr="00CA115C" w:rsidRDefault="00A6477F" w:rsidP="002B1390">
            <w:pPr>
              <w:rPr>
                <w:sz w:val="28"/>
                <w:szCs w:val="28"/>
              </w:rPr>
            </w:pPr>
            <w:r w:rsidRPr="00CA115C">
              <w:rPr>
                <w:b/>
                <w:bCs/>
                <w:sz w:val="28"/>
                <w:szCs w:val="28"/>
              </w:rPr>
              <w:t>Glare rating (UGR</w:t>
            </w:r>
            <w:r w:rsidRPr="00CA115C">
              <w:rPr>
                <w:b/>
                <w:bCs/>
                <w:sz w:val="28"/>
                <w:szCs w:val="28"/>
                <w:vertAlign w:val="subscript"/>
              </w:rPr>
              <w:t>L</w:t>
            </w:r>
            <w:r w:rsidRPr="00CA115C">
              <w:rPr>
                <w:b/>
                <w:bCs/>
                <w:sz w:val="28"/>
                <w:szCs w:val="28"/>
              </w:rPr>
              <w:t>)</w:t>
            </w:r>
            <w:r w:rsidRPr="00CA115C">
              <w:rPr>
                <w:sz w:val="28"/>
                <w:szCs w:val="28"/>
              </w:rPr>
              <w:br/>
            </w:r>
          </w:p>
        </w:tc>
        <w:tc>
          <w:tcPr>
            <w:tcW w:w="1528"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674C1768" w14:textId="77777777" w:rsidR="00A6477F" w:rsidRPr="00CA115C" w:rsidRDefault="00A6477F" w:rsidP="002B1390">
            <w:pPr>
              <w:rPr>
                <w:sz w:val="28"/>
                <w:szCs w:val="28"/>
              </w:rPr>
            </w:pPr>
            <w:r w:rsidRPr="00CA115C">
              <w:rPr>
                <w:b/>
                <w:bCs/>
                <w:sz w:val="28"/>
                <w:szCs w:val="28"/>
              </w:rPr>
              <w:t>Uniformity</w:t>
            </w:r>
            <w:r w:rsidRPr="00CA115C">
              <w:rPr>
                <w:b/>
                <w:bCs/>
                <w:sz w:val="28"/>
                <w:szCs w:val="28"/>
              </w:rPr>
              <w:br/>
              <w:t>(U</w:t>
            </w:r>
            <w:r w:rsidRPr="00CA115C">
              <w:rPr>
                <w:b/>
                <w:bCs/>
                <w:sz w:val="28"/>
                <w:szCs w:val="28"/>
                <w:vertAlign w:val="subscript"/>
              </w:rPr>
              <w:t>0</w:t>
            </w:r>
            <w:r w:rsidRPr="00CA115C">
              <w:rPr>
                <w:b/>
                <w:bCs/>
                <w:sz w:val="28"/>
                <w:szCs w:val="28"/>
              </w:rPr>
              <w:t>)</w:t>
            </w:r>
            <w:r w:rsidRPr="00CA115C">
              <w:rPr>
                <w:sz w:val="28"/>
                <w:szCs w:val="28"/>
              </w:rPr>
              <w:br/>
            </w:r>
          </w:p>
        </w:tc>
        <w:tc>
          <w:tcPr>
            <w:tcW w:w="1147"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6D2AD449" w14:textId="77777777" w:rsidR="00A6477F" w:rsidRPr="00CA115C" w:rsidRDefault="00A6477F" w:rsidP="002B1390">
            <w:pPr>
              <w:rPr>
                <w:sz w:val="28"/>
                <w:szCs w:val="28"/>
              </w:rPr>
            </w:pPr>
            <w:proofErr w:type="spellStart"/>
            <w:r w:rsidRPr="00CA115C">
              <w:rPr>
                <w:b/>
                <w:bCs/>
                <w:sz w:val="28"/>
                <w:szCs w:val="28"/>
              </w:rPr>
              <w:t>Colour</w:t>
            </w:r>
            <w:proofErr w:type="spellEnd"/>
            <w:r w:rsidRPr="00CA115C">
              <w:rPr>
                <w:b/>
                <w:bCs/>
                <w:sz w:val="28"/>
                <w:szCs w:val="28"/>
              </w:rPr>
              <w:t xml:space="preserve"> rendition</w:t>
            </w:r>
            <w:r w:rsidRPr="00CA115C">
              <w:rPr>
                <w:b/>
                <w:bCs/>
                <w:sz w:val="28"/>
                <w:szCs w:val="28"/>
              </w:rPr>
              <w:br/>
              <w:t>(R</w:t>
            </w:r>
            <w:r w:rsidRPr="00CA115C">
              <w:rPr>
                <w:b/>
                <w:bCs/>
                <w:sz w:val="28"/>
                <w:szCs w:val="28"/>
                <w:vertAlign w:val="subscript"/>
              </w:rPr>
              <w:t>a</w:t>
            </w:r>
            <w:r w:rsidRPr="00CA115C">
              <w:rPr>
                <w:b/>
                <w:bCs/>
                <w:sz w:val="28"/>
                <w:szCs w:val="28"/>
              </w:rPr>
              <w:t>)</w:t>
            </w:r>
            <w:r w:rsidRPr="00CA115C">
              <w:rPr>
                <w:sz w:val="28"/>
                <w:szCs w:val="28"/>
              </w:rPr>
              <w:br/>
            </w:r>
          </w:p>
        </w:tc>
        <w:tc>
          <w:tcPr>
            <w:tcW w:w="57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1ED6C1" w14:textId="77777777" w:rsidR="00A6477F" w:rsidRPr="00CA115C" w:rsidRDefault="00A6477F" w:rsidP="002B1390">
            <w:pPr>
              <w:rPr>
                <w:sz w:val="28"/>
                <w:szCs w:val="28"/>
              </w:rPr>
            </w:pPr>
            <w:proofErr w:type="spellStart"/>
            <w:proofErr w:type="gramStart"/>
            <w:r w:rsidRPr="00CA115C">
              <w:rPr>
                <w:b/>
                <w:bCs/>
                <w:sz w:val="28"/>
                <w:szCs w:val="28"/>
              </w:rPr>
              <w:t>E</w:t>
            </w:r>
            <w:r w:rsidRPr="00CA115C">
              <w:rPr>
                <w:b/>
                <w:bCs/>
                <w:sz w:val="28"/>
                <w:szCs w:val="28"/>
                <w:vertAlign w:val="subscript"/>
              </w:rPr>
              <w:t>m,z</w:t>
            </w:r>
            <w:proofErr w:type="spellEnd"/>
            <w:proofErr w:type="gramEnd"/>
          </w:p>
        </w:tc>
        <w:tc>
          <w:tcPr>
            <w:tcW w:w="8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2162AE" w14:textId="77777777" w:rsidR="00A6477F" w:rsidRPr="00CA115C" w:rsidRDefault="00A6477F" w:rsidP="002B1390">
            <w:pPr>
              <w:rPr>
                <w:sz w:val="28"/>
                <w:szCs w:val="28"/>
              </w:rPr>
            </w:pPr>
            <w:proofErr w:type="spellStart"/>
            <w:proofErr w:type="gramStart"/>
            <w:r w:rsidRPr="00CA115C">
              <w:rPr>
                <w:b/>
                <w:bCs/>
                <w:sz w:val="28"/>
                <w:szCs w:val="28"/>
              </w:rPr>
              <w:t>E</w:t>
            </w:r>
            <w:r w:rsidRPr="00CA115C">
              <w:rPr>
                <w:b/>
                <w:bCs/>
                <w:sz w:val="28"/>
                <w:szCs w:val="28"/>
                <w:vertAlign w:val="subscript"/>
              </w:rPr>
              <w:t>m,wall</w:t>
            </w:r>
            <w:proofErr w:type="spellEnd"/>
            <w:proofErr w:type="gramEnd"/>
          </w:p>
        </w:tc>
        <w:tc>
          <w:tcPr>
            <w:tcW w:w="103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D3B2BD" w14:textId="77777777" w:rsidR="00A6477F" w:rsidRPr="00CA115C" w:rsidRDefault="00A6477F" w:rsidP="002B1390">
            <w:pPr>
              <w:rPr>
                <w:sz w:val="28"/>
                <w:szCs w:val="28"/>
              </w:rPr>
            </w:pPr>
            <w:proofErr w:type="spellStart"/>
            <w:proofErr w:type="gramStart"/>
            <w:r w:rsidRPr="00CA115C">
              <w:rPr>
                <w:b/>
                <w:bCs/>
                <w:sz w:val="28"/>
                <w:szCs w:val="28"/>
              </w:rPr>
              <w:t>E</w:t>
            </w:r>
            <w:r w:rsidRPr="00CA115C">
              <w:rPr>
                <w:b/>
                <w:bCs/>
                <w:sz w:val="28"/>
                <w:szCs w:val="28"/>
                <w:vertAlign w:val="subscript"/>
              </w:rPr>
              <w:t>m,ceiling</w:t>
            </w:r>
            <w:proofErr w:type="spellEnd"/>
            <w:proofErr w:type="gramEnd"/>
            <w:r w:rsidRPr="00CA115C">
              <w:rPr>
                <w:b/>
                <w:bCs/>
                <w:sz w:val="28"/>
                <w:szCs w:val="28"/>
                <w:vertAlign w:val="subscript"/>
              </w:rPr>
              <w:t> </w:t>
            </w:r>
          </w:p>
        </w:tc>
        <w:tc>
          <w:tcPr>
            <w:tcW w:w="1550"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487CA426" w14:textId="77777777" w:rsidR="00A6477F" w:rsidRPr="00CA115C" w:rsidRDefault="00A6477F" w:rsidP="002B1390">
            <w:pPr>
              <w:rPr>
                <w:sz w:val="28"/>
                <w:szCs w:val="28"/>
              </w:rPr>
            </w:pPr>
            <w:r w:rsidRPr="00CA115C">
              <w:rPr>
                <w:b/>
                <w:bCs/>
                <w:sz w:val="28"/>
                <w:szCs w:val="28"/>
              </w:rPr>
              <w:t>Specific requirements</w:t>
            </w:r>
            <w:r w:rsidRPr="00CA115C">
              <w:rPr>
                <w:sz w:val="28"/>
                <w:szCs w:val="28"/>
              </w:rPr>
              <w:br/>
            </w:r>
          </w:p>
        </w:tc>
      </w:tr>
      <w:tr w:rsidR="00A6477F" w:rsidRPr="00CA115C" w14:paraId="097A468D" w14:textId="77777777" w:rsidTr="002B1390">
        <w:trPr>
          <w:trHeight w:val="122"/>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ADF80D8" w14:textId="77777777" w:rsidR="00A6477F" w:rsidRPr="00CA115C" w:rsidRDefault="00A6477F" w:rsidP="002B1390">
            <w:pPr>
              <w:rPr>
                <w:sz w:val="28"/>
                <w:szCs w:val="28"/>
              </w:rPr>
            </w:pPr>
          </w:p>
        </w:tc>
        <w:tc>
          <w:tcPr>
            <w:tcW w:w="10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5EE3EA" w14:textId="77777777" w:rsidR="00A6477F" w:rsidRPr="00CA115C" w:rsidRDefault="00A6477F" w:rsidP="002B1390">
            <w:pPr>
              <w:rPr>
                <w:sz w:val="28"/>
                <w:szCs w:val="28"/>
              </w:rPr>
            </w:pPr>
            <w:r w:rsidRPr="00CA115C">
              <w:rPr>
                <w:b/>
                <w:bCs/>
                <w:sz w:val="28"/>
                <w:szCs w:val="28"/>
              </w:rPr>
              <w:t>Required</w:t>
            </w:r>
          </w:p>
        </w:tc>
        <w:tc>
          <w:tcPr>
            <w:tcW w:w="11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5A752E" w14:textId="77777777" w:rsidR="00A6477F" w:rsidRPr="00CA115C" w:rsidRDefault="00A6477F" w:rsidP="002B1390">
            <w:pPr>
              <w:rPr>
                <w:sz w:val="28"/>
                <w:szCs w:val="28"/>
              </w:rPr>
            </w:pPr>
            <w:r w:rsidRPr="00CA115C">
              <w:rPr>
                <w:b/>
                <w:bCs/>
                <w:sz w:val="28"/>
                <w:szCs w:val="28"/>
              </w:rPr>
              <w:t>Modified</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34E3236" w14:textId="77777777" w:rsidR="00A6477F" w:rsidRPr="00CA115C" w:rsidRDefault="00A6477F" w:rsidP="002B1390">
            <w:pPr>
              <w:rPr>
                <w:sz w:val="28"/>
                <w:szCs w:val="28"/>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9E92CE9" w14:textId="77777777" w:rsidR="00A6477F" w:rsidRPr="00CA115C" w:rsidRDefault="00A6477F" w:rsidP="002B1390">
            <w:pPr>
              <w:rPr>
                <w:sz w:val="28"/>
                <w:szCs w:val="28"/>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016CEB0C" w14:textId="77777777" w:rsidR="00A6477F" w:rsidRPr="00CA115C" w:rsidRDefault="00A6477F" w:rsidP="002B1390">
            <w:pPr>
              <w:rPr>
                <w:sz w:val="28"/>
                <w:szCs w:val="28"/>
              </w:rPr>
            </w:pPr>
          </w:p>
        </w:tc>
        <w:tc>
          <w:tcPr>
            <w:tcW w:w="2436"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4A81DD56" w14:textId="77777777" w:rsidR="00A6477F" w:rsidRPr="00CA115C" w:rsidRDefault="00A6477F" w:rsidP="002B1390">
            <w:pPr>
              <w:rPr>
                <w:sz w:val="28"/>
                <w:szCs w:val="28"/>
              </w:rPr>
            </w:pPr>
            <w:r w:rsidRPr="00CA115C">
              <w:rPr>
                <w:b/>
                <w:bCs/>
                <w:sz w:val="28"/>
                <w:szCs w:val="28"/>
              </w:rPr>
              <w:t>U</w:t>
            </w:r>
            <w:r w:rsidRPr="00CA115C">
              <w:rPr>
                <w:b/>
                <w:bCs/>
                <w:sz w:val="28"/>
                <w:szCs w:val="28"/>
                <w:vertAlign w:val="subscript"/>
              </w:rPr>
              <w:t>0 </w:t>
            </w:r>
            <w:r w:rsidRPr="00CA115C">
              <w:rPr>
                <w:sz w:val="28"/>
                <w:szCs w:val="28"/>
              </w:rPr>
              <w:t>≥ 0,10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3150C00" w14:textId="77777777" w:rsidR="00A6477F" w:rsidRPr="00CA115C" w:rsidRDefault="00A6477F" w:rsidP="002B1390">
            <w:pPr>
              <w:rPr>
                <w:sz w:val="28"/>
                <w:szCs w:val="28"/>
              </w:rPr>
            </w:pPr>
          </w:p>
        </w:tc>
      </w:tr>
      <w:tr w:rsidR="00A6477F" w:rsidRPr="00CA115C" w14:paraId="64BC151C" w14:textId="77777777" w:rsidTr="002B1390">
        <w:trPr>
          <w:trHeight w:val="1085"/>
        </w:trPr>
        <w:tc>
          <w:tcPr>
            <w:tcW w:w="176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F14E17" w14:textId="77777777" w:rsidR="00A6477F" w:rsidRPr="00CA115C" w:rsidRDefault="00A6477F" w:rsidP="002B1390">
            <w:pPr>
              <w:rPr>
                <w:sz w:val="28"/>
                <w:szCs w:val="28"/>
              </w:rPr>
            </w:pPr>
            <w:r w:rsidRPr="00CA115C">
              <w:rPr>
                <w:sz w:val="28"/>
                <w:szCs w:val="28"/>
              </w:rPr>
              <w:t>Library: bookshelves</w:t>
            </w:r>
          </w:p>
        </w:tc>
        <w:tc>
          <w:tcPr>
            <w:tcW w:w="10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4D8B0A" w14:textId="77777777" w:rsidR="00A6477F" w:rsidRPr="00CA115C" w:rsidRDefault="00A6477F" w:rsidP="002B1390">
            <w:pPr>
              <w:rPr>
                <w:sz w:val="28"/>
                <w:szCs w:val="28"/>
              </w:rPr>
            </w:pPr>
            <w:r w:rsidRPr="00CA115C">
              <w:rPr>
                <w:sz w:val="28"/>
                <w:szCs w:val="28"/>
              </w:rPr>
              <w:t>200</w:t>
            </w:r>
          </w:p>
        </w:tc>
        <w:tc>
          <w:tcPr>
            <w:tcW w:w="11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DBF1CD" w14:textId="77777777" w:rsidR="00A6477F" w:rsidRPr="00CA115C" w:rsidRDefault="00A6477F" w:rsidP="002B1390">
            <w:pPr>
              <w:rPr>
                <w:sz w:val="28"/>
                <w:szCs w:val="28"/>
              </w:rPr>
            </w:pPr>
            <w:r w:rsidRPr="00CA115C">
              <w:rPr>
                <w:sz w:val="28"/>
                <w:szCs w:val="28"/>
              </w:rPr>
              <w:t>300</w:t>
            </w:r>
          </w:p>
        </w:tc>
        <w:tc>
          <w:tcPr>
            <w:tcW w:w="112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D7FFFE" w14:textId="77777777" w:rsidR="00A6477F" w:rsidRPr="00CA115C" w:rsidRDefault="00A6477F" w:rsidP="002B1390">
            <w:pPr>
              <w:rPr>
                <w:sz w:val="28"/>
                <w:szCs w:val="28"/>
              </w:rPr>
            </w:pPr>
            <w:r w:rsidRPr="00CA115C">
              <w:rPr>
                <w:sz w:val="28"/>
                <w:szCs w:val="28"/>
              </w:rPr>
              <w:t>19</w:t>
            </w:r>
          </w:p>
        </w:tc>
        <w:tc>
          <w:tcPr>
            <w:tcW w:w="15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8487CB" w14:textId="77777777" w:rsidR="00A6477F" w:rsidRPr="00CA115C" w:rsidRDefault="00A6477F" w:rsidP="002B1390">
            <w:pPr>
              <w:rPr>
                <w:sz w:val="28"/>
                <w:szCs w:val="28"/>
              </w:rPr>
            </w:pPr>
            <w:r w:rsidRPr="00CA115C">
              <w:rPr>
                <w:sz w:val="28"/>
                <w:szCs w:val="28"/>
              </w:rPr>
              <w:t>0,60</w:t>
            </w:r>
          </w:p>
        </w:tc>
        <w:tc>
          <w:tcPr>
            <w:tcW w:w="114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5A4C63" w14:textId="77777777" w:rsidR="00A6477F" w:rsidRPr="00CA115C" w:rsidRDefault="00A6477F" w:rsidP="002B1390">
            <w:pPr>
              <w:rPr>
                <w:sz w:val="28"/>
                <w:szCs w:val="28"/>
              </w:rPr>
            </w:pPr>
            <w:r w:rsidRPr="00CA115C">
              <w:rPr>
                <w:sz w:val="28"/>
                <w:szCs w:val="28"/>
              </w:rPr>
              <w:t>80</w:t>
            </w:r>
          </w:p>
        </w:tc>
        <w:tc>
          <w:tcPr>
            <w:tcW w:w="57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316369" w14:textId="77777777" w:rsidR="00A6477F" w:rsidRPr="00CA115C" w:rsidRDefault="00A6477F" w:rsidP="002B1390">
            <w:pPr>
              <w:rPr>
                <w:sz w:val="28"/>
                <w:szCs w:val="28"/>
              </w:rPr>
            </w:pPr>
            <w:r w:rsidRPr="00CA115C">
              <w:rPr>
                <w:sz w:val="28"/>
                <w:szCs w:val="28"/>
              </w:rPr>
              <w:t>-</w:t>
            </w:r>
          </w:p>
        </w:tc>
        <w:tc>
          <w:tcPr>
            <w:tcW w:w="8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BF66C6" w14:textId="77777777" w:rsidR="00A6477F" w:rsidRPr="00CA115C" w:rsidRDefault="00A6477F" w:rsidP="002B1390">
            <w:pPr>
              <w:rPr>
                <w:sz w:val="28"/>
                <w:szCs w:val="28"/>
              </w:rPr>
            </w:pPr>
            <w:r w:rsidRPr="00CA115C">
              <w:rPr>
                <w:sz w:val="28"/>
                <w:szCs w:val="28"/>
              </w:rPr>
              <w:t>-</w:t>
            </w:r>
          </w:p>
        </w:tc>
        <w:tc>
          <w:tcPr>
            <w:tcW w:w="103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D6732D" w14:textId="77777777" w:rsidR="00A6477F" w:rsidRPr="00CA115C" w:rsidRDefault="00A6477F" w:rsidP="002B1390">
            <w:pPr>
              <w:rPr>
                <w:sz w:val="28"/>
                <w:szCs w:val="28"/>
              </w:rPr>
            </w:pPr>
            <w:r w:rsidRPr="00CA115C">
              <w:rPr>
                <w:sz w:val="28"/>
                <w:szCs w:val="28"/>
              </w:rPr>
              <w:t>-</w:t>
            </w:r>
          </w:p>
        </w:tc>
        <w:tc>
          <w:tcPr>
            <w:tcW w:w="15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0D567F" w14:textId="77777777" w:rsidR="00A6477F" w:rsidRPr="00CA115C" w:rsidRDefault="00A6477F" w:rsidP="002B1390">
            <w:pPr>
              <w:rPr>
                <w:sz w:val="28"/>
                <w:szCs w:val="28"/>
              </w:rPr>
            </w:pPr>
            <w:r w:rsidRPr="00CA115C">
              <w:rPr>
                <w:sz w:val="28"/>
                <w:szCs w:val="28"/>
              </w:rPr>
              <w:t>Vertical illuminance on shelves</w:t>
            </w:r>
          </w:p>
        </w:tc>
      </w:tr>
      <w:tr w:rsidR="00A6477F" w:rsidRPr="00CA115C" w14:paraId="081790BC" w14:textId="77777777" w:rsidTr="002B1390">
        <w:trPr>
          <w:trHeight w:val="768"/>
        </w:trPr>
        <w:tc>
          <w:tcPr>
            <w:tcW w:w="176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82BE3F" w14:textId="77777777" w:rsidR="00A6477F" w:rsidRPr="00CA115C" w:rsidRDefault="00A6477F" w:rsidP="002B1390">
            <w:pPr>
              <w:rPr>
                <w:sz w:val="28"/>
                <w:szCs w:val="28"/>
              </w:rPr>
            </w:pPr>
            <w:r w:rsidRPr="00CA115C">
              <w:rPr>
                <w:sz w:val="28"/>
                <w:szCs w:val="28"/>
              </w:rPr>
              <w:t>Library: reading areas</w:t>
            </w:r>
          </w:p>
        </w:tc>
        <w:tc>
          <w:tcPr>
            <w:tcW w:w="108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C94005" w14:textId="77777777" w:rsidR="00A6477F" w:rsidRPr="00CA115C" w:rsidRDefault="00A6477F" w:rsidP="002B1390">
            <w:pPr>
              <w:rPr>
                <w:sz w:val="28"/>
                <w:szCs w:val="28"/>
              </w:rPr>
            </w:pPr>
            <w:r w:rsidRPr="00CA115C">
              <w:rPr>
                <w:sz w:val="28"/>
                <w:szCs w:val="28"/>
              </w:rPr>
              <w:t>500</w:t>
            </w:r>
          </w:p>
        </w:tc>
        <w:tc>
          <w:tcPr>
            <w:tcW w:w="112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A9BE14" w14:textId="77777777" w:rsidR="00A6477F" w:rsidRPr="00CA115C" w:rsidRDefault="00A6477F" w:rsidP="002B1390">
            <w:pPr>
              <w:rPr>
                <w:sz w:val="28"/>
                <w:szCs w:val="28"/>
              </w:rPr>
            </w:pPr>
            <w:r w:rsidRPr="00CA115C">
              <w:rPr>
                <w:sz w:val="28"/>
                <w:szCs w:val="28"/>
              </w:rPr>
              <w:t>750</w:t>
            </w:r>
          </w:p>
        </w:tc>
        <w:tc>
          <w:tcPr>
            <w:tcW w:w="112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EE034C" w14:textId="77777777" w:rsidR="00A6477F" w:rsidRPr="00CA115C" w:rsidRDefault="00A6477F" w:rsidP="002B1390">
            <w:pPr>
              <w:rPr>
                <w:sz w:val="28"/>
                <w:szCs w:val="28"/>
              </w:rPr>
            </w:pPr>
            <w:r w:rsidRPr="00CA115C">
              <w:rPr>
                <w:sz w:val="28"/>
                <w:szCs w:val="28"/>
              </w:rPr>
              <w:t>19</w:t>
            </w:r>
          </w:p>
        </w:tc>
        <w:tc>
          <w:tcPr>
            <w:tcW w:w="15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01422A" w14:textId="77777777" w:rsidR="00A6477F" w:rsidRPr="00CA115C" w:rsidRDefault="00A6477F" w:rsidP="002B1390">
            <w:pPr>
              <w:rPr>
                <w:sz w:val="28"/>
                <w:szCs w:val="28"/>
              </w:rPr>
            </w:pPr>
            <w:r w:rsidRPr="00CA115C">
              <w:rPr>
                <w:sz w:val="28"/>
                <w:szCs w:val="28"/>
              </w:rPr>
              <w:t>0,60</w:t>
            </w:r>
          </w:p>
        </w:tc>
        <w:tc>
          <w:tcPr>
            <w:tcW w:w="114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543100" w14:textId="77777777" w:rsidR="00A6477F" w:rsidRPr="00CA115C" w:rsidRDefault="00A6477F" w:rsidP="002B1390">
            <w:pPr>
              <w:rPr>
                <w:sz w:val="28"/>
                <w:szCs w:val="28"/>
              </w:rPr>
            </w:pPr>
            <w:r w:rsidRPr="00CA115C">
              <w:rPr>
                <w:sz w:val="28"/>
                <w:szCs w:val="28"/>
              </w:rPr>
              <w:t>80</w:t>
            </w:r>
          </w:p>
        </w:tc>
        <w:tc>
          <w:tcPr>
            <w:tcW w:w="57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E8D500" w14:textId="77777777" w:rsidR="00A6477F" w:rsidRPr="00CA115C" w:rsidRDefault="00A6477F" w:rsidP="002B1390">
            <w:pPr>
              <w:rPr>
                <w:sz w:val="28"/>
                <w:szCs w:val="28"/>
              </w:rPr>
            </w:pPr>
            <w:r w:rsidRPr="00CA115C">
              <w:rPr>
                <w:sz w:val="28"/>
                <w:szCs w:val="28"/>
              </w:rPr>
              <w:t>100</w:t>
            </w:r>
          </w:p>
        </w:tc>
        <w:tc>
          <w:tcPr>
            <w:tcW w:w="8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400831" w14:textId="77777777" w:rsidR="00A6477F" w:rsidRPr="00CA115C" w:rsidRDefault="00A6477F" w:rsidP="002B1390">
            <w:pPr>
              <w:rPr>
                <w:sz w:val="28"/>
                <w:szCs w:val="28"/>
              </w:rPr>
            </w:pPr>
            <w:r w:rsidRPr="00CA115C">
              <w:rPr>
                <w:sz w:val="28"/>
                <w:szCs w:val="28"/>
              </w:rPr>
              <w:t>100</w:t>
            </w:r>
          </w:p>
        </w:tc>
        <w:tc>
          <w:tcPr>
            <w:tcW w:w="103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86F334" w14:textId="77777777" w:rsidR="00A6477F" w:rsidRPr="00CA115C" w:rsidRDefault="00A6477F" w:rsidP="002B1390">
            <w:pPr>
              <w:rPr>
                <w:sz w:val="28"/>
                <w:szCs w:val="28"/>
              </w:rPr>
            </w:pPr>
            <w:r w:rsidRPr="00CA115C">
              <w:rPr>
                <w:sz w:val="28"/>
                <w:szCs w:val="28"/>
              </w:rPr>
              <w:t>50</w:t>
            </w:r>
          </w:p>
        </w:tc>
        <w:tc>
          <w:tcPr>
            <w:tcW w:w="15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2CDC98" w14:textId="77777777" w:rsidR="00A6477F" w:rsidRPr="00CA115C" w:rsidRDefault="00A6477F" w:rsidP="002B1390">
            <w:pPr>
              <w:rPr>
                <w:sz w:val="28"/>
                <w:szCs w:val="28"/>
              </w:rPr>
            </w:pPr>
            <w:r w:rsidRPr="00CA115C">
              <w:rPr>
                <w:sz w:val="28"/>
                <w:szCs w:val="28"/>
              </w:rPr>
              <w:t> </w:t>
            </w:r>
          </w:p>
        </w:tc>
      </w:tr>
    </w:tbl>
    <w:p w14:paraId="7D82C780" w14:textId="0B1823CA" w:rsidR="00A6477F" w:rsidRPr="00EE4F76" w:rsidRDefault="00A6477F" w:rsidP="00EE4F76">
      <w:r w:rsidRPr="00CA115C">
        <w:rPr>
          <w:sz w:val="28"/>
          <w:szCs w:val="28"/>
        </w:rPr>
        <w:t>Lighting requirements in EN 12464-1:2021</w:t>
      </w:r>
      <w:r w:rsidRPr="00CA115C">
        <w:rPr>
          <w:sz w:val="28"/>
          <w:szCs w:val="28"/>
        </w:rPr>
        <w:br/>
      </w:r>
    </w:p>
    <w:sectPr w:rsidR="00A6477F" w:rsidRPr="00EE4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37ABC"/>
    <w:multiLevelType w:val="multilevel"/>
    <w:tmpl w:val="C0A8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20D4D"/>
    <w:multiLevelType w:val="multilevel"/>
    <w:tmpl w:val="D560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A32D6"/>
    <w:multiLevelType w:val="multilevel"/>
    <w:tmpl w:val="0266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3538654">
    <w:abstractNumId w:val="0"/>
  </w:num>
  <w:num w:numId="2" w16cid:durableId="2032493397">
    <w:abstractNumId w:val="2"/>
  </w:num>
  <w:num w:numId="3" w16cid:durableId="1837186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62"/>
    <w:rsid w:val="00064A7C"/>
    <w:rsid w:val="002C38D4"/>
    <w:rsid w:val="004D2C16"/>
    <w:rsid w:val="007624AE"/>
    <w:rsid w:val="00765262"/>
    <w:rsid w:val="007B763B"/>
    <w:rsid w:val="00861F49"/>
    <w:rsid w:val="00A6477F"/>
    <w:rsid w:val="00EE4F76"/>
    <w:rsid w:val="00F21F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9239D"/>
  <w15:chartTrackingRefBased/>
  <w15:docId w15:val="{51128D8F-7D5F-4F7D-B413-585A6EB4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2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52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52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52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52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5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52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52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52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52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5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262"/>
    <w:rPr>
      <w:rFonts w:eastAsiaTheme="majorEastAsia" w:cstheme="majorBidi"/>
      <w:color w:val="272727" w:themeColor="text1" w:themeTint="D8"/>
    </w:rPr>
  </w:style>
  <w:style w:type="paragraph" w:styleId="Title">
    <w:name w:val="Title"/>
    <w:basedOn w:val="Normal"/>
    <w:next w:val="Normal"/>
    <w:link w:val="TitleChar"/>
    <w:uiPriority w:val="10"/>
    <w:qFormat/>
    <w:rsid w:val="00765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262"/>
    <w:pPr>
      <w:spacing w:before="160"/>
      <w:jc w:val="center"/>
    </w:pPr>
    <w:rPr>
      <w:i/>
      <w:iCs/>
      <w:color w:val="404040" w:themeColor="text1" w:themeTint="BF"/>
    </w:rPr>
  </w:style>
  <w:style w:type="character" w:customStyle="1" w:styleId="QuoteChar">
    <w:name w:val="Quote Char"/>
    <w:basedOn w:val="DefaultParagraphFont"/>
    <w:link w:val="Quote"/>
    <w:uiPriority w:val="29"/>
    <w:rsid w:val="00765262"/>
    <w:rPr>
      <w:i/>
      <w:iCs/>
      <w:color w:val="404040" w:themeColor="text1" w:themeTint="BF"/>
    </w:rPr>
  </w:style>
  <w:style w:type="paragraph" w:styleId="ListParagraph">
    <w:name w:val="List Paragraph"/>
    <w:basedOn w:val="Normal"/>
    <w:uiPriority w:val="34"/>
    <w:qFormat/>
    <w:rsid w:val="00765262"/>
    <w:pPr>
      <w:ind w:left="720"/>
      <w:contextualSpacing/>
    </w:pPr>
  </w:style>
  <w:style w:type="character" w:styleId="IntenseEmphasis">
    <w:name w:val="Intense Emphasis"/>
    <w:basedOn w:val="DefaultParagraphFont"/>
    <w:uiPriority w:val="21"/>
    <w:qFormat/>
    <w:rsid w:val="00765262"/>
    <w:rPr>
      <w:i/>
      <w:iCs/>
      <w:color w:val="2F5496" w:themeColor="accent1" w:themeShade="BF"/>
    </w:rPr>
  </w:style>
  <w:style w:type="paragraph" w:styleId="IntenseQuote">
    <w:name w:val="Intense Quote"/>
    <w:basedOn w:val="Normal"/>
    <w:next w:val="Normal"/>
    <w:link w:val="IntenseQuoteChar"/>
    <w:uiPriority w:val="30"/>
    <w:qFormat/>
    <w:rsid w:val="007652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5262"/>
    <w:rPr>
      <w:i/>
      <w:iCs/>
      <w:color w:val="2F5496" w:themeColor="accent1" w:themeShade="BF"/>
    </w:rPr>
  </w:style>
  <w:style w:type="character" w:styleId="IntenseReference">
    <w:name w:val="Intense Reference"/>
    <w:basedOn w:val="DefaultParagraphFont"/>
    <w:uiPriority w:val="32"/>
    <w:qFormat/>
    <w:rsid w:val="007652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mostafa</dc:creator>
  <cp:keywords/>
  <dc:description/>
  <cp:lastModifiedBy>salma mostafa</cp:lastModifiedBy>
  <cp:revision>2</cp:revision>
  <cp:lastPrinted>2025-08-04T10:08:00Z</cp:lastPrinted>
  <dcterms:created xsi:type="dcterms:W3CDTF">2025-08-04T09:49:00Z</dcterms:created>
  <dcterms:modified xsi:type="dcterms:W3CDTF">2025-08-04T10:09:00Z</dcterms:modified>
</cp:coreProperties>
</file>