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4C95" w14:textId="77777777" w:rsidR="00FB3C76" w:rsidRPr="009502FC" w:rsidRDefault="00000000">
      <w:pPr>
        <w:pStyle w:val="TitleLarge"/>
        <w:jc w:val="center"/>
      </w:pPr>
      <w:r w:rsidRPr="009502FC">
        <w:t>Introduction</w:t>
      </w:r>
    </w:p>
    <w:p w14:paraId="6F00ABFE" w14:textId="77777777" w:rsidR="00FB3C76" w:rsidRPr="009502FC" w:rsidRDefault="00000000">
      <w:pPr>
        <w:pStyle w:val="Body"/>
      </w:pPr>
      <w:r w:rsidRPr="009502FC">
        <w:t>Lighting in schools has long been regarded primarily as a matter of visual comfort — ensuring that students can read, write, and see the board without strain, while also meeting energy efficiency requirements. Yet in recent decades, research in neuroscience, endocrinology, and chronobiology has demonstrated that light is not only a visual input but also a biological signal. The eye contains specialized photoreceptors (intrinsically photosensitive retinal ganglion cells, or ipRGCs) that project to the brain’s master circadian clock in the suprachiasmatic nucleus (SCN). Through this pathway, light regulates hormone secretion, sleep–wake timing, mood, and cognitive performance.</w:t>
      </w:r>
    </w:p>
    <w:p w14:paraId="07D33480" w14:textId="77777777" w:rsidR="00FB3C76" w:rsidRPr="009502FC" w:rsidRDefault="00000000">
      <w:pPr>
        <w:pStyle w:val="H1"/>
      </w:pPr>
      <w:r w:rsidRPr="009502FC">
        <w:t>The Problem</w:t>
      </w:r>
    </w:p>
    <w:p w14:paraId="4C91C47A" w14:textId="77777777" w:rsidR="00FB3C76" w:rsidRPr="009502FC" w:rsidRDefault="00000000">
      <w:pPr>
        <w:pStyle w:val="Body"/>
      </w:pPr>
      <w:r w:rsidRPr="009502FC">
        <w:t>Traditional classroom lighting systems are optimized only for brightness and visibility, ignoring the non-visual biological effects of light. As a result, students are often exposed to lighting that is visually adequate but biologically disruptive. Key issues include:</w:t>
      </w:r>
    </w:p>
    <w:p w14:paraId="0F2B5C15" w14:textId="77777777" w:rsidR="00FB3C76" w:rsidRPr="009502FC" w:rsidRDefault="00000000">
      <w:pPr>
        <w:pStyle w:val="Body"/>
      </w:pPr>
      <w:r w:rsidRPr="009502FC">
        <w:t>• Circadian disruption: high CCT or blue-rich light late in the day delays melatonin secretion.</w:t>
      </w:r>
    </w:p>
    <w:p w14:paraId="0D784A5A" w14:textId="77777777" w:rsidR="00FB3C76" w:rsidRPr="009502FC" w:rsidRDefault="00000000">
      <w:pPr>
        <w:pStyle w:val="Body"/>
      </w:pPr>
      <w:r w:rsidRPr="009502FC">
        <w:t>• Hormonal imbalance: insufficient vertical illuminance in the morning weakens cortisol amplitude.</w:t>
      </w:r>
    </w:p>
    <w:p w14:paraId="5AC9256D" w14:textId="77777777" w:rsidR="00FB3C76" w:rsidRPr="009502FC" w:rsidRDefault="00000000">
      <w:pPr>
        <w:pStyle w:val="Body"/>
      </w:pPr>
      <w:r w:rsidRPr="009502FC">
        <w:t>• Cognitive fatigue: poor uniformity, low CRI, and flicker induce strain and impaired attention.</w:t>
      </w:r>
    </w:p>
    <w:p w14:paraId="71ADB26B" w14:textId="77777777" w:rsidR="00FB3C76" w:rsidRPr="009502FC" w:rsidRDefault="00000000">
      <w:pPr>
        <w:pStyle w:val="Body"/>
      </w:pPr>
      <w:r w:rsidRPr="009502FC">
        <w:t>• Mood instability: inadequate melanopic stimulus reduces serotonin turnover.</w:t>
      </w:r>
    </w:p>
    <w:p w14:paraId="2FA29B53" w14:textId="77777777" w:rsidR="00FB3C76" w:rsidRPr="009502FC" w:rsidRDefault="00000000">
      <w:pPr>
        <w:pStyle w:val="Body"/>
      </w:pPr>
      <w:r w:rsidRPr="009502FC">
        <w:t>• Long-term risks: chronic disruption linked to metabolic, immune, and psychological disorders.</w:t>
      </w:r>
    </w:p>
    <w:p w14:paraId="0C2D7AB9" w14:textId="77777777" w:rsidR="00FB3C76" w:rsidRPr="009502FC" w:rsidRDefault="00000000">
      <w:pPr>
        <w:pStyle w:val="H1"/>
      </w:pPr>
      <w:r w:rsidRPr="009502FC">
        <w:t>The Idea</w:t>
      </w:r>
    </w:p>
    <w:p w14:paraId="47C9CE31" w14:textId="77777777" w:rsidR="00FB3C76" w:rsidRPr="009502FC" w:rsidRDefault="00000000">
      <w:pPr>
        <w:pStyle w:val="Body"/>
      </w:pPr>
      <w:r w:rsidRPr="009502FC">
        <w:t>The central idea of this framework is that light can be described and controlled through measurable parameters — CCT, CRI, flicker, glare, horizontal and vertical illuminance, melanopic EDI, uniformity, and exposure duration. By aligning these parameters with their biological, hormonal, skin, nervous system, and biochemical effects, lighting can be designed not just for seeing but for learning and wellbeing.</w:t>
      </w:r>
    </w:p>
    <w:p w14:paraId="23F8167A" w14:textId="77777777" w:rsidR="00FB3C76" w:rsidRPr="009502FC" w:rsidRDefault="00000000">
      <w:pPr>
        <w:pStyle w:val="H1"/>
      </w:pPr>
      <w:r w:rsidRPr="009502FC">
        <w:t>Side Effects of Poor Lighting</w:t>
      </w:r>
    </w:p>
    <w:p w14:paraId="7F8316A4" w14:textId="77777777" w:rsidR="00FB3C76" w:rsidRPr="009502FC" w:rsidRDefault="00000000">
      <w:pPr>
        <w:pStyle w:val="Body"/>
      </w:pPr>
      <w:r w:rsidRPr="009502FC">
        <w:t>Ignoring biological effects produces consequences beyond discomfort, including disrupted circadian alignment, abnormal melatonin suppression, cortisol flattening, headaches, reduced serotonin synthesis, and lower classroom engagement.</w:t>
      </w:r>
    </w:p>
    <w:p w14:paraId="630886FD" w14:textId="77777777" w:rsidR="00FB3C76" w:rsidRPr="009502FC" w:rsidRDefault="00000000">
      <w:pPr>
        <w:pStyle w:val="H1"/>
      </w:pPr>
      <w:r w:rsidRPr="009502FC">
        <w:lastRenderedPageBreak/>
        <w:t>Our Solution</w:t>
      </w:r>
    </w:p>
    <w:p w14:paraId="592F8A06" w14:textId="77777777" w:rsidR="00FB3C76" w:rsidRPr="009502FC" w:rsidRDefault="00000000">
      <w:pPr>
        <w:pStyle w:val="Body"/>
      </w:pPr>
      <w:r w:rsidRPr="009502FC">
        <w:t>This booklet provides a parameter-based framework that integrates biology with classroom lighting design. For each parameter, we present definitions, recommended ranges, biological effects, biochemical pathways, recommendations, and checklists. By shifting from a purely visual model to a biological + visual model, schools can create environments that enhance attention, stabilize circadian rhythms, protect long-term health, and ultimately improve educational outcomes.</w:t>
      </w:r>
    </w:p>
    <w:p w14:paraId="0FCEFA86" w14:textId="77777777" w:rsidR="001E7846" w:rsidRDefault="00000000">
      <w:r>
        <w:br w:type="page"/>
      </w:r>
    </w:p>
    <w:p w14:paraId="126DA134" w14:textId="77777777" w:rsidR="001E7846" w:rsidRPr="00E6700F" w:rsidRDefault="00000000">
      <w:pPr>
        <w:pStyle w:val="TitleLarge9"/>
        <w:jc w:val="center"/>
        <w:rPr>
          <w:sz w:val="50"/>
          <w:szCs w:val="46"/>
        </w:rPr>
      </w:pPr>
      <w:r w:rsidRPr="00E6700F">
        <w:rPr>
          <w:sz w:val="50"/>
          <w:szCs w:val="46"/>
        </w:rPr>
        <w:lastRenderedPageBreak/>
        <w:t>CCT — Correlated Color Temperature (K)</w:t>
      </w:r>
    </w:p>
    <w:p w14:paraId="12CDF60D" w14:textId="77777777" w:rsidR="001E7846" w:rsidRDefault="00000000">
      <w:pPr>
        <w:pStyle w:val="Body9"/>
        <w:jc w:val="center"/>
      </w:pPr>
      <w:r>
        <w:t>Spectral balance and non-visual biology in schools</w:t>
      </w:r>
    </w:p>
    <w:p w14:paraId="02650002" w14:textId="77777777" w:rsidR="001E7846" w:rsidRDefault="00000000">
      <w:pPr>
        <w:pStyle w:val="H19"/>
      </w:pPr>
      <w:r>
        <w:t>Definition</w:t>
      </w:r>
    </w:p>
    <w:p w14:paraId="77BDF170" w14:textId="77777777" w:rsidR="001E7846" w:rsidRDefault="00000000">
      <w:pPr>
        <w:pStyle w:val="Body9"/>
      </w:pPr>
      <w:r>
        <w:t>Descriptor of spectral appearance vs. a blackbody radiator. Higher CCT = blue-rich (shorter wavelengths); lower CCT = warm (longer wavelengths).</w:t>
      </w:r>
    </w:p>
    <w:p w14:paraId="4CE4560B" w14:textId="77777777" w:rsidR="001E7846" w:rsidRDefault="00000000">
      <w:pPr>
        <w:pStyle w:val="H19"/>
      </w:pPr>
      <w:r>
        <w:t>Recommended Ranges</w:t>
      </w:r>
    </w:p>
    <w:tbl>
      <w:tblPr>
        <w:tblStyle w:val="TableGrid"/>
        <w:tblW w:w="0" w:type="auto"/>
        <w:tblLook w:val="04A0" w:firstRow="1" w:lastRow="0" w:firstColumn="1" w:lastColumn="0" w:noHBand="0" w:noVBand="1"/>
      </w:tblPr>
      <w:tblGrid>
        <w:gridCol w:w="2665"/>
        <w:gridCol w:w="5965"/>
      </w:tblGrid>
      <w:tr w:rsidR="001E7846" w14:paraId="79B2A60A" w14:textId="77777777">
        <w:tc>
          <w:tcPr>
            <w:tcW w:w="2880" w:type="dxa"/>
          </w:tcPr>
          <w:p w14:paraId="6EC5B43E" w14:textId="77777777" w:rsidR="001E7846" w:rsidRDefault="00000000">
            <w:r>
              <w:t>Optimal</w:t>
            </w:r>
          </w:p>
        </w:tc>
        <w:tc>
          <w:tcPr>
            <w:tcW w:w="6480" w:type="dxa"/>
          </w:tcPr>
          <w:p w14:paraId="31A09CF8" w14:textId="77777777" w:rsidR="001E7846" w:rsidRDefault="00000000">
            <w:r>
              <w:t>4000–5000 K (general instruction), 5000–6500 K (morning alertness/exams), 3000–3500 K (late-day calming).</w:t>
            </w:r>
          </w:p>
        </w:tc>
      </w:tr>
      <w:tr w:rsidR="001E7846" w14:paraId="52C6C83E" w14:textId="77777777">
        <w:tc>
          <w:tcPr>
            <w:tcW w:w="2880" w:type="dxa"/>
          </w:tcPr>
          <w:p w14:paraId="5598C691" w14:textId="77777777" w:rsidR="001E7846" w:rsidRDefault="00000000">
            <w:r>
              <w:t>Caution</w:t>
            </w:r>
          </w:p>
        </w:tc>
        <w:tc>
          <w:tcPr>
            <w:tcW w:w="6480" w:type="dxa"/>
          </w:tcPr>
          <w:p w14:paraId="6106891B" w14:textId="77777777" w:rsidR="001E7846" w:rsidRDefault="00000000">
            <w:r>
              <w:t>≤2700 K (daytime sleepiness risk) or ≥6500 K (discomfort/glare if uncontrolled).</w:t>
            </w:r>
          </w:p>
        </w:tc>
      </w:tr>
    </w:tbl>
    <w:p w14:paraId="2EFCE0E5" w14:textId="77777777" w:rsidR="001E7846" w:rsidRDefault="00000000">
      <w:pPr>
        <w:pStyle w:val="H19"/>
      </w:pPr>
      <w:r>
        <w:t>Biological Effects</w:t>
      </w:r>
    </w:p>
    <w:p w14:paraId="364C7A06" w14:textId="77777777" w:rsidR="001E7846" w:rsidRDefault="00000000">
      <w:pPr>
        <w:pStyle w:val="H2"/>
      </w:pPr>
      <w:r>
        <w:t>Hormones (Endocrine)</w:t>
      </w:r>
    </w:p>
    <w:p w14:paraId="2EF200F0" w14:textId="77777777" w:rsidR="001E7846" w:rsidRDefault="00000000">
      <w:pPr>
        <w:pStyle w:val="Bullet"/>
      </w:pPr>
      <w:r>
        <w:t>Blue-rich (~460–490 nm) → ipRGC (OPN4) activation → SCN → ↓ sympathetic tone to pineal → ↓ NE → ↓ AANAT → ↓ melatonin synthesis (day).</w:t>
      </w:r>
    </w:p>
    <w:p w14:paraId="151AB8FA" w14:textId="77777777" w:rsidR="001E7846" w:rsidRDefault="00000000">
      <w:pPr>
        <w:pStyle w:val="Bullet"/>
      </w:pPr>
      <w:r>
        <w:t>Morning blue-enriched light supports CRH→ACTH→cortisol diurnal peak; stabilizes HPA rhythm.</w:t>
      </w:r>
    </w:p>
    <w:p w14:paraId="3D3714BB" w14:textId="77777777" w:rsidR="001E7846" w:rsidRDefault="00000000">
      <w:pPr>
        <w:pStyle w:val="Bullet"/>
      </w:pPr>
      <w:r>
        <w:t>Daytime light increases serotonin turnover (raphe), supporting mood/attention; evening warm light permits melatonin rise.</w:t>
      </w:r>
    </w:p>
    <w:p w14:paraId="05230F79" w14:textId="77777777" w:rsidR="001E7846" w:rsidRDefault="00000000">
      <w:pPr>
        <w:pStyle w:val="H2"/>
      </w:pPr>
      <w:r>
        <w:t>Skin (Photobiology &amp; Peripheral Clocks)</w:t>
      </w:r>
    </w:p>
    <w:p w14:paraId="2D1537A6" w14:textId="77777777" w:rsidR="001E7846" w:rsidRDefault="00000000">
      <w:pPr>
        <w:pStyle w:val="Bullet"/>
      </w:pPr>
      <w:r>
        <w:t>Typical classroom LEDs lack UVB → negligible vitamin D synthesis.</w:t>
      </w:r>
    </w:p>
    <w:p w14:paraId="2204B8F8" w14:textId="77777777" w:rsidR="001E7846" w:rsidRDefault="00000000">
      <w:pPr>
        <w:pStyle w:val="Bullet"/>
      </w:pPr>
      <w:r>
        <w:t>Skin opsins (OPN3/OPN5) can entrain local clocks via G-protein–cAMP–CREB; systemic impact modest at indoor illuminances.</w:t>
      </w:r>
    </w:p>
    <w:p w14:paraId="2A38B785" w14:textId="77777777" w:rsidR="001E7846" w:rsidRDefault="00000000">
      <w:pPr>
        <w:pStyle w:val="H2"/>
      </w:pPr>
      <w:r>
        <w:t>Nervous System (ipRGC → SCN → CNS)</w:t>
      </w:r>
    </w:p>
    <w:p w14:paraId="5CE53059" w14:textId="77777777" w:rsidR="001E7846" w:rsidRDefault="00000000">
      <w:pPr>
        <w:pStyle w:val="Bullet"/>
      </w:pPr>
      <w:r>
        <w:t>ipRGC glutamatergic input (NMDA) to SCN shifts CLOCK/BMAL1 → PER/CRY molecular clock phase.</w:t>
      </w:r>
    </w:p>
    <w:p w14:paraId="5F7CA7AA" w14:textId="77777777" w:rsidR="001E7846" w:rsidRDefault="00000000">
      <w:pPr>
        <w:pStyle w:val="Bullet"/>
      </w:pPr>
      <w:r>
        <w:t>Blue light increases retinal dopamine, aiding contrast sensitivity and attentional performance.</w:t>
      </w:r>
    </w:p>
    <w:p w14:paraId="4C38FCB9" w14:textId="77777777" w:rsidR="001E7846" w:rsidRDefault="00000000">
      <w:pPr>
        <w:pStyle w:val="H19"/>
      </w:pPr>
      <w:r>
        <w:lastRenderedPageBreak/>
        <w:t>Biochemical Pathways (Mechanistic Detail)</w:t>
      </w:r>
    </w:p>
    <w:p w14:paraId="4144287D" w14:textId="77777777" w:rsidR="001E7846" w:rsidRDefault="00000000">
      <w:pPr>
        <w:pStyle w:val="Bullet"/>
      </w:pPr>
      <w:r>
        <w:t>ipRGC→SCN: glutamate + PACAP → NMDA-dependent Ca²⁺ influx → CREB phosphorylation → Per1/Per2 transcription → phase shifts.</w:t>
      </w:r>
    </w:p>
    <w:p w14:paraId="6ED210BC" w14:textId="77777777" w:rsidR="001E7846" w:rsidRDefault="00000000">
      <w:pPr>
        <w:pStyle w:val="Bullet"/>
      </w:pPr>
      <w:r>
        <w:t>SCN→PVN→IML→SCG→pineal: ↓ β-adrenergic signaling → ↓ cAMP/PKA → ↓ AANAT → melatonin↓.</w:t>
      </w:r>
    </w:p>
    <w:p w14:paraId="0BD8E786" w14:textId="77777777" w:rsidR="001E7846" w:rsidRDefault="00000000">
      <w:pPr>
        <w:pStyle w:val="Bullet"/>
      </w:pPr>
      <w:r>
        <w:t>Serotonin (TPH2) day turnover; night: 5-HT → melatonin via AANAT/ASMT.</w:t>
      </w:r>
    </w:p>
    <w:p w14:paraId="1B36B076" w14:textId="77777777" w:rsidR="001E7846" w:rsidRDefault="00000000">
      <w:pPr>
        <w:pStyle w:val="H19"/>
      </w:pPr>
      <w:r>
        <w:t>Classroom Recommendations</w:t>
      </w:r>
    </w:p>
    <w:p w14:paraId="1C1C5BDD" w14:textId="77777777" w:rsidR="001E7846" w:rsidRDefault="00000000">
      <w:pPr>
        <w:pStyle w:val="Bullet"/>
      </w:pPr>
      <w:r>
        <w:t>Provide scene presets: Focus (5000–6500 K morning), General (4000–5000 K), Calm (3000–3500 K late-day).</w:t>
      </w:r>
    </w:p>
    <w:p w14:paraId="06FCDB38" w14:textId="77777777" w:rsidR="001E7846" w:rsidRDefault="00000000">
      <w:pPr>
        <w:pStyle w:val="Bullet"/>
      </w:pPr>
      <w:r>
        <w:t>Coordinate CCT with glare control and vertical EDI targets.</w:t>
      </w:r>
    </w:p>
    <w:p w14:paraId="2D72B415" w14:textId="77777777" w:rsidR="001E7846" w:rsidRDefault="00000000">
      <w:pPr>
        <w:pStyle w:val="H19"/>
      </w:pPr>
      <w:r>
        <w:t>Quick Checklist</w:t>
      </w:r>
    </w:p>
    <w:p w14:paraId="24736112" w14:textId="77777777" w:rsidR="001E7846" w:rsidRDefault="00000000">
      <w:pPr>
        <w:pStyle w:val="Bullet"/>
      </w:pPr>
      <w:r>
        <w:t>CCT scenes mapped to schedule.</w:t>
      </w:r>
    </w:p>
    <w:p w14:paraId="795FC867" w14:textId="77777777" w:rsidR="001E7846" w:rsidRDefault="00000000">
      <w:pPr>
        <w:pStyle w:val="Bullet"/>
      </w:pPr>
      <w:r>
        <w:t>Glare controlled when using higher CCT.</w:t>
      </w:r>
    </w:p>
    <w:p w14:paraId="6A980197" w14:textId="77777777" w:rsidR="001E7846" w:rsidRDefault="00000000">
      <w:pPr>
        <w:pStyle w:val="Bullet"/>
      </w:pPr>
      <w:r>
        <w:t>Teacher control available.</w:t>
      </w:r>
    </w:p>
    <w:p w14:paraId="6481E687" w14:textId="77777777" w:rsidR="001E7846" w:rsidRDefault="00000000">
      <w:pPr>
        <w:pStyle w:val="H19"/>
      </w:pPr>
      <w:r>
        <w:t>References</w:t>
      </w:r>
    </w:p>
    <w:p w14:paraId="6675BFBA" w14:textId="77777777" w:rsidR="001E7846" w:rsidRDefault="00000000">
      <w:pPr>
        <w:pStyle w:val="Bullet"/>
      </w:pPr>
      <w:r>
        <w:t>Park et al. (2015) — CCT &amp; illuminance on performance.</w:t>
      </w:r>
    </w:p>
    <w:p w14:paraId="4E4937FB" w14:textId="77777777" w:rsidR="001E7846" w:rsidRDefault="00000000">
      <w:pPr>
        <w:pStyle w:val="Bullet"/>
      </w:pPr>
      <w:r>
        <w:t>Brown TM et al. (2022) — Reporting light for non-visual effects; melanopic metrics.</w:t>
      </w:r>
    </w:p>
    <w:p w14:paraId="69F58A39" w14:textId="77777777" w:rsidR="001E7846" w:rsidRDefault="00000000">
      <w:pPr>
        <w:pStyle w:val="Bullet"/>
      </w:pPr>
      <w:r>
        <w:t>Mott et al. — Classroom dynamic lighting and reading fluency.</w:t>
      </w:r>
    </w:p>
    <w:p w14:paraId="0BC49815" w14:textId="77777777" w:rsidR="001E7846" w:rsidRDefault="00000000">
      <w:r>
        <w:br w:type="page"/>
      </w:r>
    </w:p>
    <w:p w14:paraId="100B1C46" w14:textId="77777777" w:rsidR="001E7846" w:rsidRPr="00E6700F" w:rsidRDefault="00000000">
      <w:pPr>
        <w:pStyle w:val="TitleLarge8"/>
        <w:jc w:val="center"/>
        <w:rPr>
          <w:sz w:val="50"/>
          <w:szCs w:val="46"/>
        </w:rPr>
      </w:pPr>
      <w:r w:rsidRPr="00E6700F">
        <w:rPr>
          <w:sz w:val="50"/>
          <w:szCs w:val="46"/>
        </w:rPr>
        <w:lastRenderedPageBreak/>
        <w:t>CRI — Color Rendering Index (Ra)</w:t>
      </w:r>
    </w:p>
    <w:p w14:paraId="15485737" w14:textId="77777777" w:rsidR="001E7846" w:rsidRDefault="00000000">
      <w:pPr>
        <w:pStyle w:val="Body8"/>
        <w:jc w:val="center"/>
      </w:pPr>
      <w:r>
        <w:t>Color fidelity, strain, and indirect stress biology</w:t>
      </w:r>
    </w:p>
    <w:p w14:paraId="13468BC9" w14:textId="77777777" w:rsidR="001E7846" w:rsidRDefault="00000000">
      <w:pPr>
        <w:pStyle w:val="H18"/>
      </w:pPr>
      <w:r>
        <w:t>Definition</w:t>
      </w:r>
    </w:p>
    <w:p w14:paraId="146D5758" w14:textId="77777777" w:rsidR="001E7846" w:rsidRDefault="00000000">
      <w:pPr>
        <w:pStyle w:val="Body8"/>
      </w:pPr>
      <w:r>
        <w:t>Fidelity of color appearance vs. a reference. High CRI improves accurate perception of materials/skin tones.</w:t>
      </w:r>
    </w:p>
    <w:p w14:paraId="41BC7CB9" w14:textId="77777777" w:rsidR="001E7846" w:rsidRDefault="00000000">
      <w:pPr>
        <w:pStyle w:val="H18"/>
      </w:pPr>
      <w:r>
        <w:t>Recommended Ranges</w:t>
      </w:r>
    </w:p>
    <w:tbl>
      <w:tblPr>
        <w:tblStyle w:val="TableGrid"/>
        <w:tblW w:w="0" w:type="auto"/>
        <w:tblLook w:val="04A0" w:firstRow="1" w:lastRow="0" w:firstColumn="1" w:lastColumn="0" w:noHBand="0" w:noVBand="1"/>
      </w:tblPr>
      <w:tblGrid>
        <w:gridCol w:w="2678"/>
        <w:gridCol w:w="5952"/>
      </w:tblGrid>
      <w:tr w:rsidR="001E7846" w14:paraId="25BF8F51" w14:textId="77777777">
        <w:tc>
          <w:tcPr>
            <w:tcW w:w="2880" w:type="dxa"/>
          </w:tcPr>
          <w:p w14:paraId="7709900F" w14:textId="77777777" w:rsidR="001E7846" w:rsidRDefault="00000000">
            <w:r>
              <w:t>Optimal</w:t>
            </w:r>
          </w:p>
        </w:tc>
        <w:tc>
          <w:tcPr>
            <w:tcW w:w="6480" w:type="dxa"/>
          </w:tcPr>
          <w:p w14:paraId="44E87AE5" w14:textId="77777777" w:rsidR="001E7846" w:rsidRDefault="00000000">
            <w:r>
              <w:t>Ra ≥80 (classrooms), Ra ≥90 (art/labs).</w:t>
            </w:r>
          </w:p>
        </w:tc>
      </w:tr>
      <w:tr w:rsidR="001E7846" w14:paraId="3EED5E3B" w14:textId="77777777">
        <w:tc>
          <w:tcPr>
            <w:tcW w:w="2880" w:type="dxa"/>
          </w:tcPr>
          <w:p w14:paraId="40E9CE06" w14:textId="77777777" w:rsidR="001E7846" w:rsidRDefault="00000000">
            <w:r>
              <w:t>Caution</w:t>
            </w:r>
          </w:p>
        </w:tc>
        <w:tc>
          <w:tcPr>
            <w:tcW w:w="6480" w:type="dxa"/>
          </w:tcPr>
          <w:p w14:paraId="64918D7A" w14:textId="77777777" w:rsidR="001E7846" w:rsidRDefault="00000000">
            <w:r>
              <w:t>Ra 70–79 (non-critical areas only).</w:t>
            </w:r>
          </w:p>
        </w:tc>
      </w:tr>
    </w:tbl>
    <w:p w14:paraId="3344E044" w14:textId="77777777" w:rsidR="001E7846" w:rsidRDefault="00000000">
      <w:pPr>
        <w:pStyle w:val="H18"/>
      </w:pPr>
      <w:r>
        <w:t>Biological Effects</w:t>
      </w:r>
    </w:p>
    <w:p w14:paraId="745C5A94" w14:textId="77777777" w:rsidR="001E7846" w:rsidRDefault="00000000">
      <w:pPr>
        <w:pStyle w:val="H28"/>
      </w:pPr>
      <w:r>
        <w:t>Hormones (Endocrine)</w:t>
      </w:r>
    </w:p>
    <w:p w14:paraId="160BE3B8" w14:textId="77777777" w:rsidR="001E7846" w:rsidRDefault="00000000">
      <w:pPr>
        <w:pStyle w:val="Bullet8"/>
      </w:pPr>
      <w:r>
        <w:t>Indirect effect: poor fidelity → visual discomfort/strain → sympathetic &amp; HPA activation → cortisol↑ in susceptible students.</w:t>
      </w:r>
    </w:p>
    <w:p w14:paraId="612BB85F" w14:textId="77777777" w:rsidR="001E7846" w:rsidRDefault="00000000">
      <w:pPr>
        <w:pStyle w:val="H28"/>
      </w:pPr>
      <w:r>
        <w:t>Skin (Photobiology &amp; Peripheral Clocks)</w:t>
      </w:r>
    </w:p>
    <w:p w14:paraId="654D0CFF" w14:textId="77777777" w:rsidR="001E7846" w:rsidRDefault="00000000">
      <w:pPr>
        <w:pStyle w:val="Bullet8"/>
      </w:pPr>
      <w:r>
        <w:t>No direct biochemical change; CRI is a fidelity metric, not dose of wavelengths.</w:t>
      </w:r>
    </w:p>
    <w:p w14:paraId="57F86F79" w14:textId="77777777" w:rsidR="001E7846" w:rsidRDefault="00000000">
      <w:pPr>
        <w:pStyle w:val="H28"/>
      </w:pPr>
      <w:r>
        <w:t>Nervous System (ipRGC → SCN → CNS)</w:t>
      </w:r>
    </w:p>
    <w:p w14:paraId="70D950D1" w14:textId="77777777" w:rsidR="001E7846" w:rsidRDefault="00000000">
      <w:pPr>
        <w:pStyle w:val="Bullet8"/>
      </w:pPr>
      <w:r>
        <w:t>Spectral gaps that degrade color constancy increase cortical load (V1/V4), promoting fatigue and reduced attention.</w:t>
      </w:r>
    </w:p>
    <w:p w14:paraId="5BFE564A" w14:textId="77777777" w:rsidR="001E7846" w:rsidRDefault="00000000">
      <w:pPr>
        <w:pStyle w:val="H18"/>
      </w:pPr>
      <w:r>
        <w:t>Biochemical Pathways (Mechanistic Detail)</w:t>
      </w:r>
    </w:p>
    <w:p w14:paraId="4741322B" w14:textId="77777777" w:rsidR="001E7846" w:rsidRDefault="00000000">
      <w:pPr>
        <w:pStyle w:val="Bullet8"/>
      </w:pPr>
      <w:r>
        <w:t>Visual strain → sympathetic output (NE/Epi) → co-activates HPA (CRH→ACTH→cortisol).</w:t>
      </w:r>
    </w:p>
    <w:p w14:paraId="2B2E7AEE" w14:textId="77777777" w:rsidR="001E7846" w:rsidRDefault="00000000">
      <w:pPr>
        <w:pStyle w:val="Bullet8"/>
      </w:pPr>
      <w:r>
        <w:t>Retinal glutamate demand ↑ under difficult perception → ATP use and oxidative stress risk ↑.</w:t>
      </w:r>
    </w:p>
    <w:p w14:paraId="312ED819" w14:textId="77777777" w:rsidR="001E7846" w:rsidRDefault="00000000">
      <w:pPr>
        <w:pStyle w:val="H18"/>
      </w:pPr>
      <w:r>
        <w:t>Classroom Recommendations</w:t>
      </w:r>
    </w:p>
    <w:p w14:paraId="6D25168A" w14:textId="77777777" w:rsidR="001E7846" w:rsidRDefault="00000000">
      <w:pPr>
        <w:pStyle w:val="Bullet8"/>
      </w:pPr>
      <w:r>
        <w:t>Specify Ra ≥80 for classrooms; ≥90 for labs/art.</w:t>
      </w:r>
    </w:p>
    <w:p w14:paraId="42DE95B5" w14:textId="77777777" w:rsidR="001E7846" w:rsidRDefault="00000000">
      <w:pPr>
        <w:pStyle w:val="Bullet8"/>
      </w:pPr>
      <w:r>
        <w:t>Avoid spectra with deep troughs affecting educational materials and skin tones.</w:t>
      </w:r>
    </w:p>
    <w:p w14:paraId="7022180B" w14:textId="77777777" w:rsidR="001E7846" w:rsidRDefault="00000000">
      <w:pPr>
        <w:pStyle w:val="H18"/>
      </w:pPr>
      <w:r>
        <w:lastRenderedPageBreak/>
        <w:t>Quick Checklist</w:t>
      </w:r>
    </w:p>
    <w:p w14:paraId="67014F49" w14:textId="77777777" w:rsidR="001E7846" w:rsidRDefault="00000000">
      <w:pPr>
        <w:pStyle w:val="Bullet8"/>
      </w:pPr>
      <w:r>
        <w:t>CRI verified in luminaire data.</w:t>
      </w:r>
    </w:p>
    <w:p w14:paraId="384B95F0" w14:textId="77777777" w:rsidR="001E7846" w:rsidRDefault="00000000">
      <w:pPr>
        <w:pStyle w:val="Bullet8"/>
      </w:pPr>
      <w:r>
        <w:t>Spot-check color charts at desk level.</w:t>
      </w:r>
    </w:p>
    <w:p w14:paraId="46C3D9AD" w14:textId="77777777" w:rsidR="001E7846" w:rsidRDefault="00000000">
      <w:pPr>
        <w:pStyle w:val="H18"/>
      </w:pPr>
      <w:r>
        <w:t>References</w:t>
      </w:r>
    </w:p>
    <w:p w14:paraId="6282923E" w14:textId="77777777" w:rsidR="001E7846" w:rsidRDefault="00000000">
      <w:pPr>
        <w:pStyle w:val="Bullet8"/>
      </w:pPr>
      <w:r>
        <w:t>EN 12464-1 — Indoor workplaces (CRI guidance).</w:t>
      </w:r>
    </w:p>
    <w:p w14:paraId="463150E8" w14:textId="77777777" w:rsidR="001E7846" w:rsidRDefault="00000000">
      <w:pPr>
        <w:pStyle w:val="Bullet8"/>
      </w:pPr>
      <w:r>
        <w:t>Visual strain literature related to low-fidelity spectra.</w:t>
      </w:r>
    </w:p>
    <w:p w14:paraId="6CF99BD6" w14:textId="77777777" w:rsidR="001E7846" w:rsidRDefault="00000000">
      <w:r>
        <w:br w:type="page"/>
      </w:r>
    </w:p>
    <w:p w14:paraId="3EDC4C7D" w14:textId="77777777" w:rsidR="001E7846" w:rsidRPr="00E6700F" w:rsidRDefault="00000000">
      <w:pPr>
        <w:pStyle w:val="TitleLarge7"/>
        <w:jc w:val="center"/>
        <w:rPr>
          <w:sz w:val="50"/>
          <w:szCs w:val="46"/>
        </w:rPr>
      </w:pPr>
      <w:r w:rsidRPr="00E6700F">
        <w:rPr>
          <w:sz w:val="50"/>
          <w:szCs w:val="46"/>
        </w:rPr>
        <w:lastRenderedPageBreak/>
        <w:t>Flicker — Temporal Light Modulation</w:t>
      </w:r>
    </w:p>
    <w:p w14:paraId="246F390B" w14:textId="77777777" w:rsidR="001E7846" w:rsidRDefault="00000000">
      <w:pPr>
        <w:pStyle w:val="Body7"/>
        <w:jc w:val="center"/>
      </w:pPr>
      <w:r>
        <w:t>Invisible flicker, comfort, and neural excitability</w:t>
      </w:r>
    </w:p>
    <w:p w14:paraId="59EC2878" w14:textId="77777777" w:rsidR="001E7846" w:rsidRDefault="00000000">
      <w:pPr>
        <w:pStyle w:val="H17"/>
      </w:pPr>
      <w:r>
        <w:t>Definition</w:t>
      </w:r>
    </w:p>
    <w:p w14:paraId="53D97CC0" w14:textId="77777777" w:rsidR="001E7846" w:rsidRDefault="00000000">
      <w:pPr>
        <w:pStyle w:val="Body7"/>
      </w:pPr>
      <w:r>
        <w:t>Variation of light output over time; described by modulation %, frequency, and waveform. Can be imperceptible yet biologically active.</w:t>
      </w:r>
    </w:p>
    <w:p w14:paraId="5993C6F0" w14:textId="77777777" w:rsidR="001E7846" w:rsidRDefault="00000000">
      <w:pPr>
        <w:pStyle w:val="H17"/>
      </w:pPr>
      <w:r>
        <w:t>Recommended Ranges</w:t>
      </w:r>
    </w:p>
    <w:tbl>
      <w:tblPr>
        <w:tblStyle w:val="TableGrid"/>
        <w:tblW w:w="0" w:type="auto"/>
        <w:tblLook w:val="04A0" w:firstRow="1" w:lastRow="0" w:firstColumn="1" w:lastColumn="0" w:noHBand="0" w:noVBand="1"/>
      </w:tblPr>
      <w:tblGrid>
        <w:gridCol w:w="2676"/>
        <w:gridCol w:w="5954"/>
      </w:tblGrid>
      <w:tr w:rsidR="001E7846" w14:paraId="2960E790" w14:textId="77777777">
        <w:tc>
          <w:tcPr>
            <w:tcW w:w="2880" w:type="dxa"/>
          </w:tcPr>
          <w:p w14:paraId="1543C254" w14:textId="77777777" w:rsidR="001E7846" w:rsidRDefault="00000000">
            <w:r>
              <w:t>Optimal</w:t>
            </w:r>
          </w:p>
        </w:tc>
        <w:tc>
          <w:tcPr>
            <w:tcW w:w="6480" w:type="dxa"/>
          </w:tcPr>
          <w:p w14:paraId="6382BB86" w14:textId="77777777" w:rsidR="001E7846" w:rsidRDefault="00000000">
            <w:r>
              <w:t>Percent modulation ≤5% across occupied dimming range; avoid low fundamentals.</w:t>
            </w:r>
          </w:p>
        </w:tc>
      </w:tr>
      <w:tr w:rsidR="001E7846" w14:paraId="5CB2725E" w14:textId="77777777">
        <w:tc>
          <w:tcPr>
            <w:tcW w:w="2880" w:type="dxa"/>
          </w:tcPr>
          <w:p w14:paraId="05A037AA" w14:textId="77777777" w:rsidR="001E7846" w:rsidRDefault="00000000">
            <w:r>
              <w:t>Caution</w:t>
            </w:r>
          </w:p>
        </w:tc>
        <w:tc>
          <w:tcPr>
            <w:tcW w:w="6480" w:type="dxa"/>
          </w:tcPr>
          <w:p w14:paraId="6E8418A5" w14:textId="77777777" w:rsidR="001E7846" w:rsidRDefault="00000000">
            <w:r>
              <w:t>5–20% or fundamentals &lt;100 Hz; evaluate stroboscopic risk.</w:t>
            </w:r>
          </w:p>
        </w:tc>
      </w:tr>
    </w:tbl>
    <w:p w14:paraId="44DA66E0" w14:textId="77777777" w:rsidR="001E7846" w:rsidRDefault="00000000">
      <w:pPr>
        <w:pStyle w:val="H17"/>
      </w:pPr>
      <w:r>
        <w:t>Biological Effects</w:t>
      </w:r>
    </w:p>
    <w:p w14:paraId="09A97A57" w14:textId="77777777" w:rsidR="001E7846" w:rsidRDefault="00000000">
      <w:pPr>
        <w:pStyle w:val="H27"/>
      </w:pPr>
      <w:r>
        <w:t>Hormones (Endocrine)</w:t>
      </w:r>
    </w:p>
    <w:p w14:paraId="45C722B6" w14:textId="77777777" w:rsidR="001E7846" w:rsidRDefault="00000000">
      <w:pPr>
        <w:pStyle w:val="Bullet7"/>
      </w:pPr>
      <w:r>
        <w:t>Discomfort/stress from flicker → ↑ ACTH → cortisol↑; chronic exposure may destabilize HPA in sensitive individuals.</w:t>
      </w:r>
    </w:p>
    <w:p w14:paraId="038B886C" w14:textId="77777777" w:rsidR="001E7846" w:rsidRDefault="00000000">
      <w:pPr>
        <w:pStyle w:val="H27"/>
      </w:pPr>
      <w:r>
        <w:t>Skin (Photobiology &amp; Peripheral Clocks)</w:t>
      </w:r>
    </w:p>
    <w:p w14:paraId="1AFD44B8" w14:textId="77777777" w:rsidR="001E7846" w:rsidRDefault="00000000">
      <w:pPr>
        <w:pStyle w:val="Bullet7"/>
      </w:pPr>
      <w:r>
        <w:t>No direct photochemical effect at classroom intensities.</w:t>
      </w:r>
    </w:p>
    <w:p w14:paraId="01420424" w14:textId="77777777" w:rsidR="001E7846" w:rsidRDefault="00000000">
      <w:pPr>
        <w:pStyle w:val="H27"/>
      </w:pPr>
      <w:r>
        <w:t>Nervous System (ipRGC → SCN → CNS)</w:t>
      </w:r>
    </w:p>
    <w:p w14:paraId="5CA57C85" w14:textId="77777777" w:rsidR="001E7846" w:rsidRDefault="00000000">
      <w:pPr>
        <w:pStyle w:val="Bullet7"/>
      </w:pPr>
      <w:r>
        <w:t>Low-frequency components can entrain abnormal cortical rhythms; trigger migraines/photosensitive seizures in vulnerable populations.</w:t>
      </w:r>
    </w:p>
    <w:p w14:paraId="53A6D0EF" w14:textId="77777777" w:rsidR="001E7846" w:rsidRDefault="00000000">
      <w:pPr>
        <w:pStyle w:val="Bullet7"/>
      </w:pPr>
      <w:r>
        <w:t>Raises saccadic suppression demand → eye strain, headaches, reduced reading endurance.</w:t>
      </w:r>
    </w:p>
    <w:p w14:paraId="41AA453A" w14:textId="77777777" w:rsidR="001E7846" w:rsidRDefault="00000000">
      <w:pPr>
        <w:pStyle w:val="H17"/>
      </w:pPr>
      <w:r>
        <w:t>Biochemical Pathways (Mechanistic Detail)</w:t>
      </w:r>
    </w:p>
    <w:p w14:paraId="3C2EAB32" w14:textId="77777777" w:rsidR="001E7846" w:rsidRDefault="00000000">
      <w:pPr>
        <w:pStyle w:val="Bullet7"/>
      </w:pPr>
      <w:r>
        <w:t>Repetitive drive → glutamatergic overactivation in visual cortex; excitotoxic susceptibility increases.</w:t>
      </w:r>
    </w:p>
    <w:p w14:paraId="656A70EF" w14:textId="77777777" w:rsidR="001E7846" w:rsidRDefault="00000000">
      <w:pPr>
        <w:pStyle w:val="Bullet7"/>
      </w:pPr>
      <w:r>
        <w:t>Arousal circuits: locus coeruleus NE↑; HPA axis activation (CRH→ACTH→cortisol).</w:t>
      </w:r>
    </w:p>
    <w:p w14:paraId="3F7B5D83" w14:textId="77777777" w:rsidR="001E7846" w:rsidRDefault="00000000">
      <w:pPr>
        <w:pStyle w:val="H17"/>
      </w:pPr>
      <w:r>
        <w:t>Classroom Recommendations</w:t>
      </w:r>
    </w:p>
    <w:p w14:paraId="7ABF3883" w14:textId="77777777" w:rsidR="001E7846" w:rsidRDefault="00000000">
      <w:pPr>
        <w:pStyle w:val="Bullet7"/>
      </w:pPr>
      <w:r>
        <w:t>Specify drivers compliant with IEEE 1789; check flicker at multiple dim levels.</w:t>
      </w:r>
    </w:p>
    <w:p w14:paraId="14E7F633" w14:textId="77777777" w:rsidR="001E7846" w:rsidRDefault="00000000">
      <w:pPr>
        <w:pStyle w:val="Bullet7"/>
      </w:pPr>
      <w:r>
        <w:t>Test under mains variation; avoid deep PWM at low frequencies.</w:t>
      </w:r>
    </w:p>
    <w:p w14:paraId="21DCB8B4" w14:textId="77777777" w:rsidR="001E7846" w:rsidRDefault="00000000">
      <w:pPr>
        <w:pStyle w:val="H17"/>
      </w:pPr>
      <w:r>
        <w:lastRenderedPageBreak/>
        <w:t>Quick Checklist</w:t>
      </w:r>
    </w:p>
    <w:p w14:paraId="2BA69162" w14:textId="77777777" w:rsidR="001E7846" w:rsidRDefault="00000000">
      <w:pPr>
        <w:pStyle w:val="Bullet7"/>
      </w:pPr>
      <w:r>
        <w:t>Percent modulation and/or short-range index documented.</w:t>
      </w:r>
    </w:p>
    <w:p w14:paraId="302414B9" w14:textId="77777777" w:rsidR="001E7846" w:rsidRDefault="00000000">
      <w:pPr>
        <w:pStyle w:val="Bullet7"/>
      </w:pPr>
      <w:r>
        <w:t>No visible stroboscopic artifacts with moving objects.</w:t>
      </w:r>
    </w:p>
    <w:p w14:paraId="733BD8EB" w14:textId="77777777" w:rsidR="001E7846" w:rsidRDefault="00000000">
      <w:pPr>
        <w:pStyle w:val="H17"/>
      </w:pPr>
      <w:r>
        <w:t>References</w:t>
      </w:r>
    </w:p>
    <w:p w14:paraId="59FD95CC" w14:textId="77777777" w:rsidR="001E7846" w:rsidRDefault="00000000">
      <w:pPr>
        <w:pStyle w:val="Bullet7"/>
      </w:pPr>
      <w:r>
        <w:t>IEEE 1789 — Recommended practice for LED modulation (flicker).</w:t>
      </w:r>
    </w:p>
    <w:p w14:paraId="706898A2" w14:textId="77777777" w:rsidR="001E7846" w:rsidRDefault="00000000">
      <w:pPr>
        <w:pStyle w:val="Bullet7"/>
      </w:pPr>
      <w:r>
        <w:t>Clinical literature on photosensitive epilepsy/migraine triggers.</w:t>
      </w:r>
    </w:p>
    <w:p w14:paraId="77B483C5" w14:textId="77777777" w:rsidR="001E7846" w:rsidRDefault="00000000">
      <w:r>
        <w:br w:type="page"/>
      </w:r>
    </w:p>
    <w:p w14:paraId="633025C2" w14:textId="77777777" w:rsidR="001E7846" w:rsidRPr="00E6700F" w:rsidRDefault="00000000">
      <w:pPr>
        <w:pStyle w:val="TitleLarge6"/>
        <w:jc w:val="center"/>
        <w:rPr>
          <w:sz w:val="50"/>
          <w:szCs w:val="46"/>
        </w:rPr>
      </w:pPr>
      <w:r w:rsidRPr="00E6700F">
        <w:rPr>
          <w:sz w:val="50"/>
          <w:szCs w:val="46"/>
        </w:rPr>
        <w:lastRenderedPageBreak/>
        <w:t>Glare — Unified Glare Rating (UGR)</w:t>
      </w:r>
    </w:p>
    <w:p w14:paraId="492573CB" w14:textId="77777777" w:rsidR="001E7846" w:rsidRDefault="00000000">
      <w:pPr>
        <w:pStyle w:val="Body6"/>
        <w:jc w:val="center"/>
      </w:pPr>
      <w:r>
        <w:t>Discomfort, visual fatigue, and stress pathways</w:t>
      </w:r>
    </w:p>
    <w:p w14:paraId="3CD8174D" w14:textId="77777777" w:rsidR="001E7846" w:rsidRDefault="00000000">
      <w:pPr>
        <w:pStyle w:val="H16"/>
      </w:pPr>
      <w:r>
        <w:t>Definition</w:t>
      </w:r>
    </w:p>
    <w:p w14:paraId="4902B5AC" w14:textId="77777777" w:rsidR="001E7846" w:rsidRDefault="00000000">
      <w:pPr>
        <w:pStyle w:val="Body6"/>
      </w:pPr>
      <w:r>
        <w:t>Discomfort arising from high luminance contrasts within the field of view, predicted by UGR (source luminance, position, background).</w:t>
      </w:r>
    </w:p>
    <w:p w14:paraId="08005304" w14:textId="77777777" w:rsidR="001E7846" w:rsidRDefault="00000000">
      <w:pPr>
        <w:pStyle w:val="H16"/>
      </w:pPr>
      <w:r>
        <w:t>Recommended Ranges</w:t>
      </w:r>
    </w:p>
    <w:tbl>
      <w:tblPr>
        <w:tblStyle w:val="TableGrid"/>
        <w:tblW w:w="0" w:type="auto"/>
        <w:tblLook w:val="04A0" w:firstRow="1" w:lastRow="0" w:firstColumn="1" w:lastColumn="0" w:noHBand="0" w:noVBand="1"/>
      </w:tblPr>
      <w:tblGrid>
        <w:gridCol w:w="2678"/>
        <w:gridCol w:w="5952"/>
      </w:tblGrid>
      <w:tr w:rsidR="001E7846" w14:paraId="6FB1237E" w14:textId="77777777">
        <w:tc>
          <w:tcPr>
            <w:tcW w:w="2880" w:type="dxa"/>
          </w:tcPr>
          <w:p w14:paraId="0F7D7787" w14:textId="77777777" w:rsidR="001E7846" w:rsidRDefault="00000000">
            <w:r>
              <w:t>Optimal</w:t>
            </w:r>
          </w:p>
        </w:tc>
        <w:tc>
          <w:tcPr>
            <w:tcW w:w="6480" w:type="dxa"/>
          </w:tcPr>
          <w:p w14:paraId="5B5F3CEC" w14:textId="77777777" w:rsidR="001E7846" w:rsidRDefault="00000000">
            <w:r>
              <w:t>UGR ≤19 (classrooms).</w:t>
            </w:r>
          </w:p>
        </w:tc>
      </w:tr>
      <w:tr w:rsidR="001E7846" w14:paraId="22939BED" w14:textId="77777777">
        <w:tc>
          <w:tcPr>
            <w:tcW w:w="2880" w:type="dxa"/>
          </w:tcPr>
          <w:p w14:paraId="79AB78FA" w14:textId="77777777" w:rsidR="001E7846" w:rsidRDefault="00000000">
            <w:r>
              <w:t>Caution</w:t>
            </w:r>
          </w:p>
        </w:tc>
        <w:tc>
          <w:tcPr>
            <w:tcW w:w="6480" w:type="dxa"/>
          </w:tcPr>
          <w:p w14:paraId="424D17B7" w14:textId="77777777" w:rsidR="001E7846" w:rsidRDefault="00000000">
            <w:r>
              <w:t>UGR 19–22 (caution), &gt;22 (avoid).</w:t>
            </w:r>
          </w:p>
        </w:tc>
      </w:tr>
    </w:tbl>
    <w:p w14:paraId="13D1A1C6" w14:textId="77777777" w:rsidR="001E7846" w:rsidRDefault="00000000">
      <w:pPr>
        <w:pStyle w:val="H16"/>
      </w:pPr>
      <w:r>
        <w:t>Biological Effects</w:t>
      </w:r>
    </w:p>
    <w:p w14:paraId="6C37F820" w14:textId="77777777" w:rsidR="001E7846" w:rsidRDefault="00000000">
      <w:pPr>
        <w:pStyle w:val="H26"/>
      </w:pPr>
      <w:r>
        <w:t>Hormones (Endocrine)</w:t>
      </w:r>
    </w:p>
    <w:p w14:paraId="3A36E39A" w14:textId="77777777" w:rsidR="001E7846" w:rsidRDefault="00000000">
      <w:pPr>
        <w:pStyle w:val="Bullet6"/>
      </w:pPr>
      <w:r>
        <w:t>Persistent discomfort → sympathetic activation and HPA upregulation → cortisol↑.</w:t>
      </w:r>
    </w:p>
    <w:p w14:paraId="66C66E13" w14:textId="77777777" w:rsidR="001E7846" w:rsidRDefault="00000000">
      <w:pPr>
        <w:pStyle w:val="H26"/>
      </w:pPr>
      <w:r>
        <w:t>Skin (Photobiology &amp; Peripheral Clocks)</w:t>
      </w:r>
    </w:p>
    <w:p w14:paraId="6579B4A7" w14:textId="77777777" w:rsidR="001E7846" w:rsidRDefault="00000000">
      <w:pPr>
        <w:pStyle w:val="Bullet6"/>
      </w:pPr>
      <w:r>
        <w:t>No direct skin effect.</w:t>
      </w:r>
    </w:p>
    <w:p w14:paraId="09145E23" w14:textId="77777777" w:rsidR="001E7846" w:rsidRDefault="00000000">
      <w:pPr>
        <w:pStyle w:val="H26"/>
      </w:pPr>
      <w:r>
        <w:t>Nervous System (ipRGC → SCN → CNS)</w:t>
      </w:r>
    </w:p>
    <w:p w14:paraId="6D6C14AB" w14:textId="77777777" w:rsidR="001E7846" w:rsidRDefault="00000000">
      <w:pPr>
        <w:pStyle w:val="Bullet6"/>
      </w:pPr>
      <w:r>
        <w:t>Retinal overstimulation → glutamate↑ → visual fatigue/headaches.</w:t>
      </w:r>
    </w:p>
    <w:p w14:paraId="6661C78D" w14:textId="77777777" w:rsidR="001E7846" w:rsidRDefault="00000000">
      <w:pPr>
        <w:pStyle w:val="Bullet6"/>
      </w:pPr>
      <w:r>
        <w:t>Attention fragmentation from bright sources → working-memory efficiency↓.</w:t>
      </w:r>
    </w:p>
    <w:p w14:paraId="5031478F" w14:textId="77777777" w:rsidR="001E7846" w:rsidRDefault="00000000">
      <w:pPr>
        <w:pStyle w:val="H16"/>
      </w:pPr>
      <w:r>
        <w:t>Biochemical Pathways (Mechanistic Detail)</w:t>
      </w:r>
    </w:p>
    <w:p w14:paraId="0D9322E7" w14:textId="77777777" w:rsidR="001E7846" w:rsidRDefault="00000000">
      <w:pPr>
        <w:pStyle w:val="Bullet6"/>
      </w:pPr>
      <w:r>
        <w:t>Aversive visual input engages limbic pathways (amygdala) → HPA activation.</w:t>
      </w:r>
    </w:p>
    <w:p w14:paraId="60AEA53F" w14:textId="77777777" w:rsidR="001E7846" w:rsidRDefault="00000000">
      <w:pPr>
        <w:pStyle w:val="Bullet6"/>
      </w:pPr>
      <w:r>
        <w:t>Photoreceptor bleaching/recovery cycles raise mitochondrial ROS; antioxidants (SOD, catalase) taxed.</w:t>
      </w:r>
    </w:p>
    <w:p w14:paraId="27065DF8" w14:textId="77777777" w:rsidR="001E7846" w:rsidRDefault="00000000">
      <w:pPr>
        <w:pStyle w:val="H16"/>
      </w:pPr>
      <w:r>
        <w:t>Classroom Recommendations</w:t>
      </w:r>
    </w:p>
    <w:p w14:paraId="3A4FC524" w14:textId="77777777" w:rsidR="001E7846" w:rsidRDefault="00000000">
      <w:pPr>
        <w:pStyle w:val="Bullet6"/>
      </w:pPr>
      <w:r>
        <w:t>Use diffusers/microprismatic optics; avoid direct view of high-luminance emitters.</w:t>
      </w:r>
    </w:p>
    <w:p w14:paraId="214ACBF3" w14:textId="77777777" w:rsidR="001E7846" w:rsidRDefault="00000000">
      <w:pPr>
        <w:pStyle w:val="Bullet6"/>
      </w:pPr>
      <w:r>
        <w:t>Control reflected glare on boards/screens; coordinate luminance and CCT.</w:t>
      </w:r>
    </w:p>
    <w:p w14:paraId="4D7EE2E6" w14:textId="77777777" w:rsidR="001E7846" w:rsidRDefault="00000000">
      <w:pPr>
        <w:pStyle w:val="H16"/>
      </w:pPr>
      <w:r>
        <w:lastRenderedPageBreak/>
        <w:t>Quick Checklist</w:t>
      </w:r>
    </w:p>
    <w:p w14:paraId="17D35F2F" w14:textId="77777777" w:rsidR="001E7846" w:rsidRDefault="00000000">
      <w:pPr>
        <w:pStyle w:val="Bullet6"/>
      </w:pPr>
      <w:r>
        <w:t>UGR verified in lighting calc.</w:t>
      </w:r>
    </w:p>
    <w:p w14:paraId="22F74872" w14:textId="77777777" w:rsidR="001E7846" w:rsidRDefault="00000000">
      <w:pPr>
        <w:pStyle w:val="Bullet6"/>
      </w:pPr>
      <w:r>
        <w:t>Check reflections from whiteboards and displays at student eye positions.</w:t>
      </w:r>
    </w:p>
    <w:p w14:paraId="03A30400" w14:textId="77777777" w:rsidR="001E7846" w:rsidRDefault="00000000">
      <w:pPr>
        <w:pStyle w:val="H16"/>
      </w:pPr>
      <w:r>
        <w:t>References</w:t>
      </w:r>
    </w:p>
    <w:p w14:paraId="1FDD2B86" w14:textId="77777777" w:rsidR="001E7846" w:rsidRDefault="00000000">
      <w:pPr>
        <w:pStyle w:val="Bullet6"/>
      </w:pPr>
      <w:r>
        <w:t>EN 12464-1 / CIBSE LG — Glare limits.</w:t>
      </w:r>
    </w:p>
    <w:p w14:paraId="02DB7E03" w14:textId="77777777" w:rsidR="001E7846" w:rsidRDefault="00000000">
      <w:pPr>
        <w:pStyle w:val="Bullet6"/>
      </w:pPr>
      <w:r>
        <w:t>Studies linking glare to visual fatigue and task errors.</w:t>
      </w:r>
    </w:p>
    <w:p w14:paraId="397DF3C2" w14:textId="77777777" w:rsidR="001E7846" w:rsidRDefault="00000000">
      <w:r>
        <w:br w:type="page"/>
      </w:r>
    </w:p>
    <w:p w14:paraId="2FFD3BF0" w14:textId="77777777" w:rsidR="001E7846" w:rsidRPr="00E6700F" w:rsidRDefault="00000000">
      <w:pPr>
        <w:pStyle w:val="TitleLarge5"/>
        <w:jc w:val="center"/>
        <w:rPr>
          <w:sz w:val="50"/>
          <w:szCs w:val="46"/>
        </w:rPr>
      </w:pPr>
      <w:r w:rsidRPr="00E6700F">
        <w:rPr>
          <w:sz w:val="50"/>
          <w:szCs w:val="46"/>
        </w:rPr>
        <w:lastRenderedPageBreak/>
        <w:t>Horizontal Illuminance — Desk/Task (lx)</w:t>
      </w:r>
    </w:p>
    <w:p w14:paraId="20F1243B" w14:textId="77777777" w:rsidR="001E7846" w:rsidRDefault="00000000">
      <w:pPr>
        <w:pStyle w:val="Body5"/>
        <w:jc w:val="center"/>
      </w:pPr>
      <w:r>
        <w:t>Visual performance and non-visual support</w:t>
      </w:r>
    </w:p>
    <w:p w14:paraId="5E07AE31" w14:textId="77777777" w:rsidR="001E7846" w:rsidRDefault="00000000">
      <w:pPr>
        <w:pStyle w:val="H15"/>
      </w:pPr>
      <w:r>
        <w:t>Definition</w:t>
      </w:r>
    </w:p>
    <w:p w14:paraId="67B287EF" w14:textId="77777777" w:rsidR="001E7846" w:rsidRDefault="00000000">
      <w:pPr>
        <w:pStyle w:val="Body5"/>
      </w:pPr>
      <w:r>
        <w:t>Illuminance on the working plane (desks). Adequate levels support reading speed, error reduction, and comfort.</w:t>
      </w:r>
    </w:p>
    <w:p w14:paraId="4715B883" w14:textId="77777777" w:rsidR="001E7846" w:rsidRDefault="00000000">
      <w:pPr>
        <w:pStyle w:val="H15"/>
      </w:pPr>
      <w:r>
        <w:t>Recommended Ranges</w:t>
      </w:r>
    </w:p>
    <w:tbl>
      <w:tblPr>
        <w:tblStyle w:val="TableGrid"/>
        <w:tblW w:w="0" w:type="auto"/>
        <w:tblLook w:val="04A0" w:firstRow="1" w:lastRow="0" w:firstColumn="1" w:lastColumn="0" w:noHBand="0" w:noVBand="1"/>
      </w:tblPr>
      <w:tblGrid>
        <w:gridCol w:w="2676"/>
        <w:gridCol w:w="5954"/>
      </w:tblGrid>
      <w:tr w:rsidR="001E7846" w14:paraId="5FF87FA0" w14:textId="77777777">
        <w:tc>
          <w:tcPr>
            <w:tcW w:w="2880" w:type="dxa"/>
          </w:tcPr>
          <w:p w14:paraId="27544784" w14:textId="77777777" w:rsidR="001E7846" w:rsidRDefault="00000000">
            <w:r>
              <w:t>Optimal</w:t>
            </w:r>
          </w:p>
        </w:tc>
        <w:tc>
          <w:tcPr>
            <w:tcW w:w="6480" w:type="dxa"/>
          </w:tcPr>
          <w:p w14:paraId="67486932" w14:textId="77777777" w:rsidR="001E7846" w:rsidRDefault="00000000">
            <w:r>
              <w:t>300–500 lx general classrooms; 750–1000 lx short-term exams/labs (with glare control).</w:t>
            </w:r>
          </w:p>
        </w:tc>
      </w:tr>
      <w:tr w:rsidR="001E7846" w14:paraId="5EF26BB7" w14:textId="77777777">
        <w:tc>
          <w:tcPr>
            <w:tcW w:w="2880" w:type="dxa"/>
          </w:tcPr>
          <w:p w14:paraId="5B44FC82" w14:textId="77777777" w:rsidR="001E7846" w:rsidRDefault="00000000">
            <w:r>
              <w:t>Caution</w:t>
            </w:r>
          </w:p>
        </w:tc>
        <w:tc>
          <w:tcPr>
            <w:tcW w:w="6480" w:type="dxa"/>
          </w:tcPr>
          <w:p w14:paraId="0097E9D6" w14:textId="77777777" w:rsidR="001E7846" w:rsidRDefault="00000000">
            <w:r>
              <w:t>200–299 lx (strain risk); &gt;1000 lx (glare if uncontrolled).</w:t>
            </w:r>
          </w:p>
        </w:tc>
      </w:tr>
    </w:tbl>
    <w:p w14:paraId="151B356F" w14:textId="77777777" w:rsidR="001E7846" w:rsidRDefault="00000000">
      <w:pPr>
        <w:pStyle w:val="H15"/>
      </w:pPr>
      <w:r>
        <w:t>Biological Effects</w:t>
      </w:r>
    </w:p>
    <w:p w14:paraId="4FDD9C1F" w14:textId="77777777" w:rsidR="001E7846" w:rsidRDefault="00000000">
      <w:pPr>
        <w:pStyle w:val="H25"/>
      </w:pPr>
      <w:r>
        <w:t>Hormones (Endocrine)</w:t>
      </w:r>
    </w:p>
    <w:p w14:paraId="03BB1EF7" w14:textId="77777777" w:rsidR="001E7846" w:rsidRDefault="00000000">
      <w:pPr>
        <w:pStyle w:val="Bullet5"/>
      </w:pPr>
      <w:r>
        <w:t>Higher daytime illuminance → stronger ipRGC drive → melatonin suppression; supports morning cortisol amplitude.</w:t>
      </w:r>
    </w:p>
    <w:p w14:paraId="3C9FAB12" w14:textId="77777777" w:rsidR="001E7846" w:rsidRDefault="00000000">
      <w:pPr>
        <w:pStyle w:val="Bullet5"/>
      </w:pPr>
      <w:r>
        <w:t>Adequate light supports serotonin turnover and overall mood/attention.</w:t>
      </w:r>
    </w:p>
    <w:p w14:paraId="54729400" w14:textId="77777777" w:rsidR="001E7846" w:rsidRDefault="00000000">
      <w:pPr>
        <w:pStyle w:val="H25"/>
      </w:pPr>
      <w:r>
        <w:t>Skin (Photobiology &amp; Peripheral Clocks)</w:t>
      </w:r>
    </w:p>
    <w:p w14:paraId="4AA4A242" w14:textId="77777777" w:rsidR="001E7846" w:rsidRDefault="00000000">
      <w:pPr>
        <w:pStyle w:val="Bullet5"/>
      </w:pPr>
      <w:r>
        <w:t>Indoor electric light (no UVB) → negligible vitamin D effect.</w:t>
      </w:r>
    </w:p>
    <w:p w14:paraId="28F1AB26" w14:textId="77777777" w:rsidR="001E7846" w:rsidRDefault="00000000">
      <w:pPr>
        <w:pStyle w:val="H25"/>
      </w:pPr>
      <w:r>
        <w:t>Nervous System (ipRGC → SCN → CNS)</w:t>
      </w:r>
    </w:p>
    <w:p w14:paraId="5A3F9D3B" w14:textId="77777777" w:rsidR="001E7846" w:rsidRDefault="00000000">
      <w:pPr>
        <w:pStyle w:val="Bullet5"/>
      </w:pPr>
      <w:r>
        <w:t>Greater retinal drive → SCN stability → improved vigilance and executive function.</w:t>
      </w:r>
    </w:p>
    <w:p w14:paraId="557FC4C3" w14:textId="77777777" w:rsidR="001E7846" w:rsidRDefault="00000000">
      <w:pPr>
        <w:pStyle w:val="Bullet5"/>
      </w:pPr>
      <w:r>
        <w:t>Supports prefrontal dopamine tone, reducing errors and enhancing working memory.</w:t>
      </w:r>
    </w:p>
    <w:p w14:paraId="21AC4F00" w14:textId="77777777" w:rsidR="001E7846" w:rsidRDefault="00000000">
      <w:pPr>
        <w:pStyle w:val="H15"/>
      </w:pPr>
      <w:r>
        <w:t>Biochemical Pathways (Mechanistic Detail)</w:t>
      </w:r>
    </w:p>
    <w:p w14:paraId="6A5F6486" w14:textId="77777777" w:rsidR="001E7846" w:rsidRDefault="00000000">
      <w:pPr>
        <w:pStyle w:val="Bullet5"/>
      </w:pPr>
      <w:r>
        <w:t>ipRGC glutamate/PACAP → NMDA-Ca²⁺→CREB→Per gene expression; SCN synchronizes peripheral clocks via AVP/VIP/GABA.</w:t>
      </w:r>
    </w:p>
    <w:p w14:paraId="68A06B5A" w14:textId="77777777" w:rsidR="001E7846" w:rsidRDefault="00000000">
      <w:pPr>
        <w:pStyle w:val="Bullet5"/>
      </w:pPr>
      <w:r>
        <w:t>Daylight components (when present) further reinforce circadian amplitude.</w:t>
      </w:r>
    </w:p>
    <w:p w14:paraId="6D435381" w14:textId="77777777" w:rsidR="001E7846" w:rsidRDefault="00000000">
      <w:pPr>
        <w:pStyle w:val="H15"/>
      </w:pPr>
      <w:r>
        <w:t>Classroom Recommendations</w:t>
      </w:r>
    </w:p>
    <w:p w14:paraId="4AE766B6" w14:textId="77777777" w:rsidR="001E7846" w:rsidRDefault="00000000">
      <w:pPr>
        <w:pStyle w:val="Bullet5"/>
      </w:pPr>
      <w:r>
        <w:t>Design for 300–500 lx at desks with uniformity ≥0.6.</w:t>
      </w:r>
    </w:p>
    <w:p w14:paraId="2A5C2EDB" w14:textId="77777777" w:rsidR="001E7846" w:rsidRDefault="00000000">
      <w:pPr>
        <w:pStyle w:val="Bullet5"/>
      </w:pPr>
      <w:r>
        <w:t>Use boost scenes (750–1000 lx) for exams; manage glare and flicker.</w:t>
      </w:r>
    </w:p>
    <w:p w14:paraId="2D7E6020" w14:textId="77777777" w:rsidR="001E7846" w:rsidRDefault="00000000">
      <w:pPr>
        <w:pStyle w:val="H15"/>
      </w:pPr>
      <w:r>
        <w:lastRenderedPageBreak/>
        <w:t>Quick Checklist</w:t>
      </w:r>
    </w:p>
    <w:p w14:paraId="643A79EC" w14:textId="77777777" w:rsidR="001E7846" w:rsidRDefault="00000000">
      <w:pPr>
        <w:pStyle w:val="Bullet5"/>
      </w:pPr>
      <w:r>
        <w:t>Lux measured across multiple desks and rows.</w:t>
      </w:r>
    </w:p>
    <w:p w14:paraId="32644BD2" w14:textId="77777777" w:rsidR="001E7846" w:rsidRDefault="00000000">
      <w:pPr>
        <w:pStyle w:val="Bullet5"/>
      </w:pPr>
      <w:r>
        <w:t>Uniformity and contrast to board verified.</w:t>
      </w:r>
    </w:p>
    <w:p w14:paraId="4CBD7F25" w14:textId="77777777" w:rsidR="001E7846" w:rsidRDefault="00000000">
      <w:pPr>
        <w:pStyle w:val="H15"/>
      </w:pPr>
      <w:r>
        <w:t>References</w:t>
      </w:r>
    </w:p>
    <w:p w14:paraId="1CC38FB3" w14:textId="77777777" w:rsidR="001E7846" w:rsidRDefault="00000000">
      <w:pPr>
        <w:pStyle w:val="Bullet5"/>
      </w:pPr>
      <w:r>
        <w:t>EN 12464-1 — Classroom illuminance and uniformity.</w:t>
      </w:r>
    </w:p>
    <w:p w14:paraId="156C9707" w14:textId="77777777" w:rsidR="001E7846" w:rsidRDefault="00000000">
      <w:pPr>
        <w:pStyle w:val="Bullet5"/>
      </w:pPr>
      <w:r>
        <w:t>Park et al. — Illuminance and alertness/performance.</w:t>
      </w:r>
    </w:p>
    <w:p w14:paraId="01EAA896" w14:textId="77777777" w:rsidR="001E7846" w:rsidRDefault="00000000">
      <w:r>
        <w:br w:type="page"/>
      </w:r>
    </w:p>
    <w:p w14:paraId="22522915" w14:textId="77777777" w:rsidR="001E7846" w:rsidRPr="00E6700F" w:rsidRDefault="00000000">
      <w:pPr>
        <w:pStyle w:val="TitleLarge4"/>
        <w:jc w:val="center"/>
        <w:rPr>
          <w:sz w:val="50"/>
          <w:szCs w:val="46"/>
        </w:rPr>
      </w:pPr>
      <w:r w:rsidRPr="00E6700F">
        <w:rPr>
          <w:sz w:val="50"/>
          <w:szCs w:val="46"/>
        </w:rPr>
        <w:lastRenderedPageBreak/>
        <w:t>Vertical Illuminance — Eye-Level (lx)</w:t>
      </w:r>
    </w:p>
    <w:p w14:paraId="44FED303" w14:textId="77777777" w:rsidR="001E7846" w:rsidRDefault="00000000">
      <w:pPr>
        <w:pStyle w:val="Body4"/>
        <w:jc w:val="center"/>
      </w:pPr>
      <w:r>
        <w:t>The better proxy for circadian stimulus</w:t>
      </w:r>
    </w:p>
    <w:p w14:paraId="7EF1F666" w14:textId="77777777" w:rsidR="001E7846" w:rsidRDefault="00000000">
      <w:pPr>
        <w:pStyle w:val="H14"/>
      </w:pPr>
      <w:r>
        <w:t>Definition</w:t>
      </w:r>
    </w:p>
    <w:p w14:paraId="23869EDE" w14:textId="77777777" w:rsidR="001E7846" w:rsidRDefault="00000000">
      <w:pPr>
        <w:pStyle w:val="Body4"/>
      </w:pPr>
      <w:r>
        <w:t>Illuminance on a vertical plane at eye height; more predictive of non-visual responses than horizontal lux.</w:t>
      </w:r>
    </w:p>
    <w:p w14:paraId="7E896F34" w14:textId="77777777" w:rsidR="001E7846" w:rsidRDefault="00000000">
      <w:pPr>
        <w:pStyle w:val="H14"/>
      </w:pPr>
      <w:r>
        <w:t>Recommended Ranges</w:t>
      </w:r>
    </w:p>
    <w:tbl>
      <w:tblPr>
        <w:tblStyle w:val="TableGrid"/>
        <w:tblW w:w="0" w:type="auto"/>
        <w:tblLook w:val="04A0" w:firstRow="1" w:lastRow="0" w:firstColumn="1" w:lastColumn="0" w:noHBand="0" w:noVBand="1"/>
      </w:tblPr>
      <w:tblGrid>
        <w:gridCol w:w="2682"/>
        <w:gridCol w:w="5948"/>
      </w:tblGrid>
      <w:tr w:rsidR="001E7846" w14:paraId="24C24046" w14:textId="77777777">
        <w:tc>
          <w:tcPr>
            <w:tcW w:w="2880" w:type="dxa"/>
          </w:tcPr>
          <w:p w14:paraId="797C25CF" w14:textId="77777777" w:rsidR="001E7846" w:rsidRDefault="00000000">
            <w:r>
              <w:t>Optimal</w:t>
            </w:r>
          </w:p>
        </w:tc>
        <w:tc>
          <w:tcPr>
            <w:tcW w:w="6480" w:type="dxa"/>
          </w:tcPr>
          <w:p w14:paraId="2AC36339" w14:textId="77777777" w:rsidR="001E7846" w:rsidRDefault="00000000">
            <w:r>
              <w:t>300–500 lx vertical (daytime).</w:t>
            </w:r>
          </w:p>
        </w:tc>
      </w:tr>
      <w:tr w:rsidR="001E7846" w14:paraId="39605B87" w14:textId="77777777">
        <w:tc>
          <w:tcPr>
            <w:tcW w:w="2880" w:type="dxa"/>
          </w:tcPr>
          <w:p w14:paraId="4B288A9B" w14:textId="77777777" w:rsidR="001E7846" w:rsidRDefault="00000000">
            <w:r>
              <w:t>Caution</w:t>
            </w:r>
          </w:p>
        </w:tc>
        <w:tc>
          <w:tcPr>
            <w:tcW w:w="6480" w:type="dxa"/>
          </w:tcPr>
          <w:p w14:paraId="6D5A3998" w14:textId="77777777" w:rsidR="001E7846" w:rsidRDefault="00000000">
            <w:r>
              <w:t>200–299 lx (weak circadian drive); &gt;800 lx (check glare/UGR).</w:t>
            </w:r>
          </w:p>
        </w:tc>
      </w:tr>
    </w:tbl>
    <w:p w14:paraId="40A425AE" w14:textId="77777777" w:rsidR="001E7846" w:rsidRDefault="00000000">
      <w:pPr>
        <w:pStyle w:val="H14"/>
      </w:pPr>
      <w:r>
        <w:t>Biological Effects</w:t>
      </w:r>
    </w:p>
    <w:p w14:paraId="744663AB" w14:textId="77777777" w:rsidR="001E7846" w:rsidRDefault="00000000">
      <w:pPr>
        <w:pStyle w:val="H24"/>
      </w:pPr>
      <w:r>
        <w:t>Hormones (Endocrine)</w:t>
      </w:r>
    </w:p>
    <w:p w14:paraId="4B6A80B2" w14:textId="77777777" w:rsidR="001E7846" w:rsidRDefault="00000000">
      <w:pPr>
        <w:pStyle w:val="Bullet4"/>
      </w:pPr>
      <w:r>
        <w:t>Adequate vertical light efficiently suppresses melatonin by day; supports robust cortisol rhythm.</w:t>
      </w:r>
    </w:p>
    <w:p w14:paraId="4FD803F4" w14:textId="77777777" w:rsidR="001E7846" w:rsidRDefault="00000000">
      <w:pPr>
        <w:pStyle w:val="H24"/>
      </w:pPr>
      <w:r>
        <w:t>Skin (Photobiology &amp; Peripheral Clocks)</w:t>
      </w:r>
    </w:p>
    <w:p w14:paraId="2D1C98EF" w14:textId="77777777" w:rsidR="001E7846" w:rsidRDefault="00000000">
      <w:pPr>
        <w:pStyle w:val="Bullet4"/>
      </w:pPr>
      <w:r>
        <w:t>Minimal direct effect absent UV; effects are retinally mediated.</w:t>
      </w:r>
    </w:p>
    <w:p w14:paraId="3D23D4E0" w14:textId="77777777" w:rsidR="001E7846" w:rsidRDefault="00000000">
      <w:pPr>
        <w:pStyle w:val="H24"/>
      </w:pPr>
      <w:r>
        <w:t>Nervous System (ipRGC → SCN → CNS)</w:t>
      </w:r>
    </w:p>
    <w:p w14:paraId="22AA7D3A" w14:textId="77777777" w:rsidR="001E7846" w:rsidRDefault="00000000">
      <w:pPr>
        <w:pStyle w:val="Bullet4"/>
      </w:pPr>
      <w:r>
        <w:t>Triggers c-Fos in SCN; resets molecular clock (CLOCK/BMAL1→PER/CRY).</w:t>
      </w:r>
    </w:p>
    <w:p w14:paraId="0192EA79" w14:textId="77777777" w:rsidR="001E7846" w:rsidRDefault="00000000">
      <w:pPr>
        <w:pStyle w:val="Bullet4"/>
      </w:pPr>
      <w:r>
        <w:t>Enhances locus coeruleus and basal forebrain activity → alertness, memory encoding.</w:t>
      </w:r>
    </w:p>
    <w:p w14:paraId="7C39D39C" w14:textId="77777777" w:rsidR="001E7846" w:rsidRDefault="00000000">
      <w:pPr>
        <w:pStyle w:val="H14"/>
      </w:pPr>
      <w:r>
        <w:t>Biochemical Pathways (Mechanistic Detail)</w:t>
      </w:r>
    </w:p>
    <w:p w14:paraId="5177F598" w14:textId="77777777" w:rsidR="001E7846" w:rsidRDefault="00000000">
      <w:pPr>
        <w:pStyle w:val="Bullet4"/>
      </w:pPr>
      <w:r>
        <w:t>Light pulses → NMDA-dependent Ca²⁺ influx → CREB → Per1/Per2 expression → phase adjustment.</w:t>
      </w:r>
    </w:p>
    <w:p w14:paraId="02159938" w14:textId="77777777" w:rsidR="001E7846" w:rsidRDefault="00000000">
      <w:pPr>
        <w:pStyle w:val="Bullet4"/>
      </w:pPr>
      <w:r>
        <w:t>SCN outputs modulate pineal AANAT via sympathetic chain.</w:t>
      </w:r>
    </w:p>
    <w:p w14:paraId="11A3BA62" w14:textId="77777777" w:rsidR="001E7846" w:rsidRDefault="00000000">
      <w:pPr>
        <w:pStyle w:val="H14"/>
      </w:pPr>
      <w:r>
        <w:t>Classroom Recommendations</w:t>
      </w:r>
    </w:p>
    <w:p w14:paraId="51320E8E" w14:textId="77777777" w:rsidR="001E7846" w:rsidRDefault="00000000">
      <w:pPr>
        <w:pStyle w:val="Bullet4"/>
      </w:pPr>
      <w:r>
        <w:t>Measure vertical lx at student eye positions across the room.</w:t>
      </w:r>
    </w:p>
    <w:p w14:paraId="08653CF9" w14:textId="77777777" w:rsidR="001E7846" w:rsidRDefault="00000000">
      <w:pPr>
        <w:pStyle w:val="Bullet4"/>
      </w:pPr>
      <w:r>
        <w:t>Combine with spectral tuning to meet melanopic targets (see mEDI).</w:t>
      </w:r>
    </w:p>
    <w:p w14:paraId="2EE0D8B3" w14:textId="77777777" w:rsidR="001E7846" w:rsidRDefault="00000000">
      <w:pPr>
        <w:pStyle w:val="H14"/>
      </w:pPr>
      <w:r>
        <w:lastRenderedPageBreak/>
        <w:t>Quick Checklist</w:t>
      </w:r>
    </w:p>
    <w:p w14:paraId="02E6265E" w14:textId="77777777" w:rsidR="001E7846" w:rsidRDefault="00000000">
      <w:pPr>
        <w:pStyle w:val="Bullet4"/>
      </w:pPr>
      <w:r>
        <w:t>Vertical lx verified during morning hours.</w:t>
      </w:r>
    </w:p>
    <w:p w14:paraId="525AA7BC" w14:textId="77777777" w:rsidR="001E7846" w:rsidRDefault="00000000">
      <w:pPr>
        <w:pStyle w:val="Bullet4"/>
      </w:pPr>
      <w:r>
        <w:t>No direct view of high-luminance sources.</w:t>
      </w:r>
    </w:p>
    <w:p w14:paraId="7AE1AAFE" w14:textId="77777777" w:rsidR="001E7846" w:rsidRDefault="00000000">
      <w:pPr>
        <w:pStyle w:val="H14"/>
      </w:pPr>
      <w:r>
        <w:t>References</w:t>
      </w:r>
    </w:p>
    <w:p w14:paraId="3E69BEFF" w14:textId="77777777" w:rsidR="001E7846" w:rsidRDefault="00000000">
      <w:pPr>
        <w:pStyle w:val="Bullet4"/>
      </w:pPr>
      <w:r>
        <w:t>WELL Building Standard — Vertical light at eye guidance.</w:t>
      </w:r>
    </w:p>
    <w:p w14:paraId="79D105B0" w14:textId="77777777" w:rsidR="001E7846" w:rsidRDefault="00000000">
      <w:pPr>
        <w:pStyle w:val="Bullet4"/>
      </w:pPr>
      <w:r>
        <w:t>Brown TM et al. (2022) — Circadian-relevant measures.</w:t>
      </w:r>
    </w:p>
    <w:p w14:paraId="62D434F6" w14:textId="77777777" w:rsidR="001E7846" w:rsidRDefault="00000000">
      <w:r>
        <w:br w:type="page"/>
      </w:r>
    </w:p>
    <w:p w14:paraId="02009D4F" w14:textId="77777777" w:rsidR="001E7846" w:rsidRPr="00E6700F" w:rsidRDefault="00000000">
      <w:pPr>
        <w:pStyle w:val="TitleLarge3"/>
        <w:jc w:val="center"/>
        <w:rPr>
          <w:sz w:val="50"/>
          <w:szCs w:val="46"/>
        </w:rPr>
      </w:pPr>
      <w:r w:rsidRPr="00E6700F">
        <w:rPr>
          <w:sz w:val="50"/>
          <w:szCs w:val="46"/>
        </w:rPr>
        <w:lastRenderedPageBreak/>
        <w:t>Melanopic EDI — Equivalent Daylight Illuminance (melanopic lux)</w:t>
      </w:r>
    </w:p>
    <w:p w14:paraId="6C9F8E4D" w14:textId="77777777" w:rsidR="001E7846" w:rsidRDefault="00000000">
      <w:pPr>
        <w:pStyle w:val="Body3"/>
        <w:jc w:val="center"/>
      </w:pPr>
      <w:r>
        <w:t>Spectrally weighted metric for ipRGC stimulus</w:t>
      </w:r>
    </w:p>
    <w:p w14:paraId="40231F6E" w14:textId="77777777" w:rsidR="001E7846" w:rsidRDefault="00000000">
      <w:pPr>
        <w:pStyle w:val="H13"/>
      </w:pPr>
      <w:r>
        <w:t>Definition</w:t>
      </w:r>
    </w:p>
    <w:p w14:paraId="1E798851" w14:textId="77777777" w:rsidR="001E7846" w:rsidRDefault="00000000">
      <w:pPr>
        <w:pStyle w:val="Body3"/>
      </w:pPr>
      <w:r>
        <w:t>Photometric metric weighted to melanopsin sensitivity; better predictor of circadian/non-visual effects than photopic lux alone.</w:t>
      </w:r>
    </w:p>
    <w:p w14:paraId="376F5E99" w14:textId="77777777" w:rsidR="001E7846" w:rsidRDefault="00000000">
      <w:pPr>
        <w:pStyle w:val="H13"/>
      </w:pPr>
      <w:r>
        <w:t>Recommended Ranges</w:t>
      </w:r>
    </w:p>
    <w:tbl>
      <w:tblPr>
        <w:tblStyle w:val="TableGrid"/>
        <w:tblW w:w="0" w:type="auto"/>
        <w:tblLook w:val="04A0" w:firstRow="1" w:lastRow="0" w:firstColumn="1" w:lastColumn="0" w:noHBand="0" w:noVBand="1"/>
      </w:tblPr>
      <w:tblGrid>
        <w:gridCol w:w="2678"/>
        <w:gridCol w:w="5952"/>
      </w:tblGrid>
      <w:tr w:rsidR="001E7846" w14:paraId="73FB73E1" w14:textId="77777777">
        <w:tc>
          <w:tcPr>
            <w:tcW w:w="2880" w:type="dxa"/>
          </w:tcPr>
          <w:p w14:paraId="468CDEE3" w14:textId="77777777" w:rsidR="001E7846" w:rsidRDefault="00000000">
            <w:r>
              <w:t>Optimal</w:t>
            </w:r>
          </w:p>
        </w:tc>
        <w:tc>
          <w:tcPr>
            <w:tcW w:w="6480" w:type="dxa"/>
          </w:tcPr>
          <w:p w14:paraId="254F72FF" w14:textId="77777777" w:rsidR="001E7846" w:rsidRDefault="00000000">
            <w:r>
              <w:t>≥250–500 melanopic lx for students during daytime (especially morning).</w:t>
            </w:r>
          </w:p>
        </w:tc>
      </w:tr>
      <w:tr w:rsidR="001E7846" w14:paraId="1A1E1DE2" w14:textId="77777777">
        <w:tc>
          <w:tcPr>
            <w:tcW w:w="2880" w:type="dxa"/>
          </w:tcPr>
          <w:p w14:paraId="10997760" w14:textId="77777777" w:rsidR="001E7846" w:rsidRDefault="00000000">
            <w:r>
              <w:t>Caution</w:t>
            </w:r>
          </w:p>
        </w:tc>
        <w:tc>
          <w:tcPr>
            <w:tcW w:w="6480" w:type="dxa"/>
          </w:tcPr>
          <w:p w14:paraId="6A85626F" w14:textId="77777777" w:rsidR="001E7846" w:rsidRDefault="00000000">
            <w:r>
              <w:t>100–249 mEDI (weak); &lt;100 mEDI (insufficient).</w:t>
            </w:r>
          </w:p>
        </w:tc>
      </w:tr>
    </w:tbl>
    <w:p w14:paraId="106D2D9D" w14:textId="77777777" w:rsidR="001E7846" w:rsidRDefault="00000000">
      <w:pPr>
        <w:pStyle w:val="H13"/>
      </w:pPr>
      <w:r>
        <w:t>Biological Effects</w:t>
      </w:r>
    </w:p>
    <w:p w14:paraId="477B9097" w14:textId="77777777" w:rsidR="001E7846" w:rsidRDefault="00000000">
      <w:pPr>
        <w:pStyle w:val="H23"/>
      </w:pPr>
      <w:r>
        <w:t>Hormones (Endocrine)</w:t>
      </w:r>
    </w:p>
    <w:p w14:paraId="6A66BF4E" w14:textId="77777777" w:rsidR="001E7846" w:rsidRDefault="00000000">
      <w:pPr>
        <w:pStyle w:val="Bullet3"/>
      </w:pPr>
      <w:r>
        <w:t>Daytime ≥250 mEDI → robust melatonin suppression and entrainment; supports morning cortisol peak.</w:t>
      </w:r>
    </w:p>
    <w:p w14:paraId="02C5F3FF" w14:textId="77777777" w:rsidR="001E7846" w:rsidRDefault="00000000">
      <w:pPr>
        <w:pStyle w:val="Bullet3"/>
      </w:pPr>
      <w:r>
        <w:t>Daytime light improves serotonin availability (precursor to nocturnal melatonin).</w:t>
      </w:r>
    </w:p>
    <w:p w14:paraId="7F2E3D3F" w14:textId="77777777" w:rsidR="001E7846" w:rsidRDefault="00000000">
      <w:pPr>
        <w:pStyle w:val="H23"/>
      </w:pPr>
      <w:r>
        <w:t>Skin (Photobiology &amp; Peripheral Clocks)</w:t>
      </w:r>
    </w:p>
    <w:p w14:paraId="2BF0A243" w14:textId="77777777" w:rsidR="001E7846" w:rsidRDefault="00000000">
      <w:pPr>
        <w:pStyle w:val="Bullet3"/>
      </w:pPr>
      <w:r>
        <w:t>Skin opsins (e.g., OPN5) may align local circadian rhythms; systemic hormonal impact mostly retinally mediated.</w:t>
      </w:r>
    </w:p>
    <w:p w14:paraId="498D9F02" w14:textId="77777777" w:rsidR="001E7846" w:rsidRDefault="00000000">
      <w:pPr>
        <w:pStyle w:val="H23"/>
      </w:pPr>
      <w:r>
        <w:t>Nervous System (ipRGC → SCN → CNS)</w:t>
      </w:r>
    </w:p>
    <w:p w14:paraId="5919F22E" w14:textId="77777777" w:rsidR="001E7846" w:rsidRDefault="00000000">
      <w:pPr>
        <w:pStyle w:val="Bullet3"/>
      </w:pPr>
      <w:r>
        <w:t>Strong melanopic drive synchronizes SCN, improving arousal networks (noradrenergic/cholinergic).</w:t>
      </w:r>
    </w:p>
    <w:p w14:paraId="536CC279" w14:textId="77777777" w:rsidR="001E7846" w:rsidRDefault="00000000">
      <w:pPr>
        <w:pStyle w:val="H13"/>
      </w:pPr>
      <w:r>
        <w:t>Biochemical Pathways (Mechanistic Detail)</w:t>
      </w:r>
    </w:p>
    <w:p w14:paraId="0E6D8E27" w14:textId="77777777" w:rsidR="001E7846" w:rsidRDefault="00000000">
      <w:pPr>
        <w:pStyle w:val="Bullet3"/>
      </w:pPr>
      <w:r>
        <w:t>OPN4 (Gq/11) → PLCβ → IP3/DAG → Ca²⁺ rise → transcriptional effects in SCN neurons.</w:t>
      </w:r>
    </w:p>
    <w:p w14:paraId="1BF31AC1" w14:textId="77777777" w:rsidR="001E7846" w:rsidRDefault="00000000">
      <w:pPr>
        <w:pStyle w:val="Bullet3"/>
      </w:pPr>
      <w:r>
        <w:t>SCN coordinates peripheral oscillators via neuropeptides (VIP, AVP) stabilizing metabolism and cognition.</w:t>
      </w:r>
    </w:p>
    <w:p w14:paraId="58561483" w14:textId="77777777" w:rsidR="001E7846" w:rsidRDefault="00000000">
      <w:pPr>
        <w:pStyle w:val="H13"/>
      </w:pPr>
      <w:r>
        <w:lastRenderedPageBreak/>
        <w:t>Classroom Recommendations</w:t>
      </w:r>
    </w:p>
    <w:p w14:paraId="795DBA7B" w14:textId="77777777" w:rsidR="001E7846" w:rsidRDefault="00000000">
      <w:pPr>
        <w:pStyle w:val="Bullet3"/>
      </w:pPr>
      <w:r>
        <w:t>Use spectrally tuned luminaires/daylight to reach morning mEDI targets.</w:t>
      </w:r>
    </w:p>
    <w:p w14:paraId="1BC7F92C" w14:textId="77777777" w:rsidR="001E7846" w:rsidRDefault="00000000">
      <w:pPr>
        <w:pStyle w:val="Bullet3"/>
      </w:pPr>
      <w:r>
        <w:t>Verify with spectrometer or CIE S 026 calculator.</w:t>
      </w:r>
    </w:p>
    <w:p w14:paraId="61AEC375" w14:textId="77777777" w:rsidR="001E7846" w:rsidRDefault="00000000">
      <w:pPr>
        <w:pStyle w:val="H13"/>
      </w:pPr>
      <w:r>
        <w:t>Quick Checklist</w:t>
      </w:r>
    </w:p>
    <w:p w14:paraId="088D3B5F" w14:textId="77777777" w:rsidR="001E7846" w:rsidRDefault="00000000">
      <w:pPr>
        <w:pStyle w:val="Bullet3"/>
      </w:pPr>
      <w:r>
        <w:t>mEDI measured at eye height for seated students.</w:t>
      </w:r>
    </w:p>
    <w:p w14:paraId="2D2B5326" w14:textId="77777777" w:rsidR="001E7846" w:rsidRDefault="00000000">
      <w:pPr>
        <w:pStyle w:val="Bullet3"/>
      </w:pPr>
      <w:r>
        <w:t>Morning exposure window ≥2 h at target levels.</w:t>
      </w:r>
    </w:p>
    <w:p w14:paraId="7221B603" w14:textId="77777777" w:rsidR="001E7846" w:rsidRDefault="00000000">
      <w:pPr>
        <w:pStyle w:val="H13"/>
      </w:pPr>
      <w:r>
        <w:t>References</w:t>
      </w:r>
    </w:p>
    <w:p w14:paraId="12508FCC" w14:textId="77777777" w:rsidR="001E7846" w:rsidRDefault="00000000">
      <w:pPr>
        <w:pStyle w:val="Bullet3"/>
      </w:pPr>
      <w:r>
        <w:t>Brown TM et al. (2022) — Reporting light for non-visual effects (melanopic metrics).</w:t>
      </w:r>
    </w:p>
    <w:p w14:paraId="37A93E95" w14:textId="77777777" w:rsidR="001E7846" w:rsidRDefault="00000000">
      <w:pPr>
        <w:pStyle w:val="Bullet3"/>
      </w:pPr>
      <w:r>
        <w:t>CIE S 026/E:2018 — System for metrology of optical radiation for ipRGC-influenced responses.</w:t>
      </w:r>
    </w:p>
    <w:p w14:paraId="72D299D1" w14:textId="77777777" w:rsidR="001E7846" w:rsidRDefault="00000000">
      <w:pPr>
        <w:pStyle w:val="Bullet3"/>
      </w:pPr>
      <w:r>
        <w:t>WELL — Circadian lighting feature guidance.</w:t>
      </w:r>
    </w:p>
    <w:p w14:paraId="1463CFE7" w14:textId="77777777" w:rsidR="001E7846" w:rsidRDefault="00000000">
      <w:r>
        <w:br w:type="page"/>
      </w:r>
    </w:p>
    <w:p w14:paraId="542B96D3" w14:textId="77777777" w:rsidR="001E7846" w:rsidRPr="00E6700F" w:rsidRDefault="00000000">
      <w:pPr>
        <w:pStyle w:val="TitleLarge2"/>
        <w:jc w:val="center"/>
        <w:rPr>
          <w:sz w:val="50"/>
          <w:szCs w:val="46"/>
        </w:rPr>
      </w:pPr>
      <w:r w:rsidRPr="00E6700F">
        <w:rPr>
          <w:sz w:val="50"/>
          <w:szCs w:val="46"/>
        </w:rPr>
        <w:lastRenderedPageBreak/>
        <w:t>Uniformity — Emin / Eavg</w:t>
      </w:r>
    </w:p>
    <w:p w14:paraId="2746088D" w14:textId="77777777" w:rsidR="001E7846" w:rsidRDefault="00000000">
      <w:pPr>
        <w:pStyle w:val="Body2"/>
        <w:jc w:val="center"/>
      </w:pPr>
      <w:r>
        <w:t>Spatial consistency, comfort, and load on visual system</w:t>
      </w:r>
    </w:p>
    <w:p w14:paraId="44C2D247" w14:textId="77777777" w:rsidR="001E7846" w:rsidRDefault="00000000">
      <w:pPr>
        <w:pStyle w:val="H12"/>
      </w:pPr>
      <w:r>
        <w:t>Definition</w:t>
      </w:r>
    </w:p>
    <w:p w14:paraId="0109CB75" w14:textId="77777777" w:rsidR="001E7846" w:rsidRDefault="00000000">
      <w:pPr>
        <w:pStyle w:val="Body2"/>
      </w:pPr>
      <w:r>
        <w:t>Ratio of minimum to average illuminance. Higher uniformity means fewer dark corners and less adaptation stress.</w:t>
      </w:r>
    </w:p>
    <w:p w14:paraId="6FCEFCED" w14:textId="77777777" w:rsidR="001E7846" w:rsidRDefault="00000000">
      <w:pPr>
        <w:pStyle w:val="H12"/>
      </w:pPr>
      <w:r>
        <w:t>Recommended Ranges</w:t>
      </w:r>
    </w:p>
    <w:tbl>
      <w:tblPr>
        <w:tblStyle w:val="TableGrid"/>
        <w:tblW w:w="0" w:type="auto"/>
        <w:tblLook w:val="04A0" w:firstRow="1" w:lastRow="0" w:firstColumn="1" w:lastColumn="0" w:noHBand="0" w:noVBand="1"/>
      </w:tblPr>
      <w:tblGrid>
        <w:gridCol w:w="2681"/>
        <w:gridCol w:w="5949"/>
      </w:tblGrid>
      <w:tr w:rsidR="001E7846" w14:paraId="31A80BEF" w14:textId="77777777">
        <w:tc>
          <w:tcPr>
            <w:tcW w:w="2880" w:type="dxa"/>
          </w:tcPr>
          <w:p w14:paraId="72C9FD7E" w14:textId="77777777" w:rsidR="001E7846" w:rsidRDefault="00000000">
            <w:r>
              <w:t>Optimal</w:t>
            </w:r>
          </w:p>
        </w:tc>
        <w:tc>
          <w:tcPr>
            <w:tcW w:w="6480" w:type="dxa"/>
          </w:tcPr>
          <w:p w14:paraId="4A0EB7A5" w14:textId="77777777" w:rsidR="001E7846" w:rsidRDefault="00000000">
            <w:r>
              <w:t>≥0.6 in classrooms (≥0.7 desirable in exam halls if practicable).</w:t>
            </w:r>
          </w:p>
        </w:tc>
      </w:tr>
      <w:tr w:rsidR="001E7846" w14:paraId="2B85DDCE" w14:textId="77777777">
        <w:tc>
          <w:tcPr>
            <w:tcW w:w="2880" w:type="dxa"/>
          </w:tcPr>
          <w:p w14:paraId="16DEA53F" w14:textId="77777777" w:rsidR="001E7846" w:rsidRDefault="00000000">
            <w:r>
              <w:t>Caution</w:t>
            </w:r>
          </w:p>
        </w:tc>
        <w:tc>
          <w:tcPr>
            <w:tcW w:w="6480" w:type="dxa"/>
          </w:tcPr>
          <w:p w14:paraId="7676180F" w14:textId="77777777" w:rsidR="001E7846" w:rsidRDefault="00000000">
            <w:r>
              <w:t>0.4–0.59 (caution); &lt;0.4 (avoid).</w:t>
            </w:r>
          </w:p>
        </w:tc>
      </w:tr>
    </w:tbl>
    <w:p w14:paraId="499AE01B" w14:textId="77777777" w:rsidR="001E7846" w:rsidRDefault="00000000">
      <w:pPr>
        <w:pStyle w:val="H12"/>
      </w:pPr>
      <w:r>
        <w:t>Biological Effects</w:t>
      </w:r>
    </w:p>
    <w:p w14:paraId="55945575" w14:textId="77777777" w:rsidR="001E7846" w:rsidRDefault="00000000">
      <w:pPr>
        <w:pStyle w:val="H22"/>
      </w:pPr>
      <w:r>
        <w:t>Hormones (Endocrine)</w:t>
      </w:r>
    </w:p>
    <w:p w14:paraId="369F47B1" w14:textId="77777777" w:rsidR="001E7846" w:rsidRDefault="00000000">
      <w:pPr>
        <w:pStyle w:val="Bullet2"/>
      </w:pPr>
      <w:r>
        <w:t>Uneven fields raise adaptation stress → sympathetic/HPA activation → cortisol↑ in susceptible students.</w:t>
      </w:r>
    </w:p>
    <w:p w14:paraId="178E1124" w14:textId="77777777" w:rsidR="001E7846" w:rsidRDefault="00000000">
      <w:pPr>
        <w:pStyle w:val="H22"/>
      </w:pPr>
      <w:r>
        <w:t>Skin (Photobiology &amp; Peripheral Clocks)</w:t>
      </w:r>
    </w:p>
    <w:p w14:paraId="403462A0" w14:textId="77777777" w:rsidR="001E7846" w:rsidRDefault="00000000">
      <w:pPr>
        <w:pStyle w:val="Bullet2"/>
      </w:pPr>
      <w:r>
        <w:t>Neutral at indoor levels.</w:t>
      </w:r>
    </w:p>
    <w:p w14:paraId="34B87815" w14:textId="77777777" w:rsidR="001E7846" w:rsidRDefault="00000000">
      <w:pPr>
        <w:pStyle w:val="H22"/>
      </w:pPr>
      <w:r>
        <w:t>Nervous System (ipRGC → SCN → CNS)</w:t>
      </w:r>
    </w:p>
    <w:p w14:paraId="23E37CF2" w14:textId="77777777" w:rsidR="001E7846" w:rsidRDefault="00000000">
      <w:pPr>
        <w:pStyle w:val="Bullet2"/>
      </w:pPr>
      <w:r>
        <w:t>Frequent retinal adaptation (bleach/recover) increases metabolic load and visual cortex effort; attention stamina declines.</w:t>
      </w:r>
    </w:p>
    <w:p w14:paraId="693D160B" w14:textId="77777777" w:rsidR="001E7846" w:rsidRDefault="00000000">
      <w:pPr>
        <w:pStyle w:val="H12"/>
      </w:pPr>
      <w:r>
        <w:t>Biochemical Pathways (Mechanistic Detail)</w:t>
      </w:r>
    </w:p>
    <w:p w14:paraId="6783A4CC" w14:textId="77777777" w:rsidR="001E7846" w:rsidRDefault="00000000">
      <w:pPr>
        <w:pStyle w:val="Bullet2"/>
      </w:pPr>
      <w:r>
        <w:t>Photoreceptor mitochondrial load↑ → ROS generation; antioxidant defenses (SOD, catalase) taxed.</w:t>
      </w:r>
    </w:p>
    <w:p w14:paraId="4056092A" w14:textId="77777777" w:rsidR="001E7846" w:rsidRDefault="00000000">
      <w:pPr>
        <w:pStyle w:val="Bullet2"/>
      </w:pPr>
      <w:r>
        <w:t>Chronic visual stress may upregulate inflammatory mediators (e.g., IL-6, TNF-α) in susceptible individuals.</w:t>
      </w:r>
    </w:p>
    <w:p w14:paraId="3FAA6F0B" w14:textId="77777777" w:rsidR="001E7846" w:rsidRDefault="00000000">
      <w:pPr>
        <w:pStyle w:val="H12"/>
      </w:pPr>
      <w:r>
        <w:t>Classroom Recommendations</w:t>
      </w:r>
    </w:p>
    <w:p w14:paraId="0872CA39" w14:textId="77777777" w:rsidR="001E7846" w:rsidRDefault="00000000">
      <w:pPr>
        <w:pStyle w:val="Bullet2"/>
      </w:pPr>
      <w:r>
        <w:t>Lay out luminaires to minimize contrast; consider indirect components.</w:t>
      </w:r>
    </w:p>
    <w:p w14:paraId="36C49C4A" w14:textId="77777777" w:rsidR="001E7846" w:rsidRDefault="00000000">
      <w:pPr>
        <w:pStyle w:val="Bullet2"/>
      </w:pPr>
      <w:r>
        <w:t>Verify uniformity at desks and whiteboards with measurements.</w:t>
      </w:r>
    </w:p>
    <w:p w14:paraId="2FAC8379" w14:textId="77777777" w:rsidR="001E7846" w:rsidRDefault="00000000">
      <w:pPr>
        <w:pStyle w:val="H12"/>
      </w:pPr>
      <w:r>
        <w:lastRenderedPageBreak/>
        <w:t>Quick Checklist</w:t>
      </w:r>
    </w:p>
    <w:p w14:paraId="083C8277" w14:textId="77777777" w:rsidR="001E7846" w:rsidRDefault="00000000">
      <w:pPr>
        <w:pStyle w:val="Bullet2"/>
      </w:pPr>
      <w:r>
        <w:t>Uniformity ratio from lighting calc documented.</w:t>
      </w:r>
    </w:p>
    <w:p w14:paraId="1465C9FA" w14:textId="77777777" w:rsidR="001E7846" w:rsidRDefault="00000000">
      <w:pPr>
        <w:pStyle w:val="Bullet2"/>
      </w:pPr>
      <w:r>
        <w:t>Spot measurements confirm design values.</w:t>
      </w:r>
    </w:p>
    <w:p w14:paraId="20023EE2" w14:textId="77777777" w:rsidR="001E7846" w:rsidRDefault="00000000">
      <w:pPr>
        <w:pStyle w:val="H12"/>
      </w:pPr>
      <w:r>
        <w:t>References</w:t>
      </w:r>
    </w:p>
    <w:p w14:paraId="11332D62" w14:textId="77777777" w:rsidR="001E7846" w:rsidRDefault="00000000">
      <w:pPr>
        <w:pStyle w:val="Bullet2"/>
      </w:pPr>
      <w:r>
        <w:t>EN 12464-1 — Uniformity requirements for classrooms.</w:t>
      </w:r>
    </w:p>
    <w:p w14:paraId="7360D4CD" w14:textId="77777777" w:rsidR="001E7846" w:rsidRDefault="00000000">
      <w:pPr>
        <w:pStyle w:val="Bullet2"/>
      </w:pPr>
      <w:r>
        <w:t>Human factors studies on uneven lighting and visual stress.</w:t>
      </w:r>
    </w:p>
    <w:p w14:paraId="64D0B242" w14:textId="77777777" w:rsidR="001E7846" w:rsidRDefault="00000000">
      <w:r>
        <w:br w:type="page"/>
      </w:r>
    </w:p>
    <w:p w14:paraId="35537C7F" w14:textId="77777777" w:rsidR="001E7846" w:rsidRPr="00E6700F" w:rsidRDefault="00000000">
      <w:pPr>
        <w:pStyle w:val="TitleLarge1"/>
        <w:jc w:val="center"/>
        <w:rPr>
          <w:sz w:val="50"/>
          <w:szCs w:val="46"/>
        </w:rPr>
      </w:pPr>
      <w:r w:rsidRPr="00E6700F">
        <w:rPr>
          <w:sz w:val="50"/>
          <w:szCs w:val="46"/>
        </w:rPr>
        <w:lastRenderedPageBreak/>
        <w:t>Exposure Duration — Daily Light Dose</w:t>
      </w:r>
    </w:p>
    <w:p w14:paraId="5EDBEAE7" w14:textId="77777777" w:rsidR="001E7846" w:rsidRDefault="00000000">
      <w:pPr>
        <w:pStyle w:val="Body1"/>
        <w:jc w:val="center"/>
      </w:pPr>
      <w:r>
        <w:t>Time × spectrum × intensity for robust entrainment</w:t>
      </w:r>
    </w:p>
    <w:p w14:paraId="35CF86CC" w14:textId="77777777" w:rsidR="001E7846" w:rsidRDefault="00000000">
      <w:pPr>
        <w:pStyle w:val="H11"/>
      </w:pPr>
      <w:r>
        <w:t>Definition</w:t>
      </w:r>
    </w:p>
    <w:p w14:paraId="757302A5" w14:textId="77777777" w:rsidR="001E7846" w:rsidRDefault="00000000">
      <w:pPr>
        <w:pStyle w:val="Body1"/>
      </w:pPr>
      <w:r>
        <w:t>Cumulative non-visual light exposure across the day. Both intensity and spectrum matter; morning/forenoon exposure is most impactful.</w:t>
      </w:r>
    </w:p>
    <w:p w14:paraId="5839592B" w14:textId="77777777" w:rsidR="001E7846" w:rsidRDefault="00000000">
      <w:pPr>
        <w:pStyle w:val="H11"/>
      </w:pPr>
      <w:r>
        <w:t>Recommended Ranges</w:t>
      </w:r>
    </w:p>
    <w:tbl>
      <w:tblPr>
        <w:tblStyle w:val="TableGrid"/>
        <w:tblW w:w="0" w:type="auto"/>
        <w:tblLook w:val="04A0" w:firstRow="1" w:lastRow="0" w:firstColumn="1" w:lastColumn="0" w:noHBand="0" w:noVBand="1"/>
      </w:tblPr>
      <w:tblGrid>
        <w:gridCol w:w="2653"/>
        <w:gridCol w:w="5977"/>
      </w:tblGrid>
      <w:tr w:rsidR="001E7846" w14:paraId="337E0938" w14:textId="77777777">
        <w:tc>
          <w:tcPr>
            <w:tcW w:w="2880" w:type="dxa"/>
          </w:tcPr>
          <w:p w14:paraId="2B1EAFBF" w14:textId="77777777" w:rsidR="001E7846" w:rsidRDefault="00000000">
            <w:r>
              <w:t>Optimal</w:t>
            </w:r>
          </w:p>
        </w:tc>
        <w:tc>
          <w:tcPr>
            <w:tcW w:w="6480" w:type="dxa"/>
          </w:tcPr>
          <w:p w14:paraId="53490628" w14:textId="77777777" w:rsidR="001E7846" w:rsidRDefault="00000000">
            <w:r>
              <w:t>2–4 h/day of adequate vertical melanopic exposure (≥250 mEDI) in the morning/early afternoon.</w:t>
            </w:r>
          </w:p>
        </w:tc>
      </w:tr>
      <w:tr w:rsidR="001E7846" w14:paraId="7E3E7B28" w14:textId="77777777">
        <w:tc>
          <w:tcPr>
            <w:tcW w:w="2880" w:type="dxa"/>
          </w:tcPr>
          <w:p w14:paraId="05347746" w14:textId="77777777" w:rsidR="001E7846" w:rsidRDefault="00000000">
            <w:r>
              <w:t>Caution</w:t>
            </w:r>
          </w:p>
        </w:tc>
        <w:tc>
          <w:tcPr>
            <w:tcW w:w="6480" w:type="dxa"/>
          </w:tcPr>
          <w:p w14:paraId="48D0684F" w14:textId="77777777" w:rsidR="001E7846" w:rsidRDefault="00000000">
            <w:r>
              <w:t>&lt;2 h/day or irregular schedules (risk of weak entrainment/delayed sleep).</w:t>
            </w:r>
          </w:p>
        </w:tc>
      </w:tr>
    </w:tbl>
    <w:p w14:paraId="3E07B347" w14:textId="77777777" w:rsidR="001E7846" w:rsidRDefault="00000000">
      <w:pPr>
        <w:pStyle w:val="H11"/>
      </w:pPr>
      <w:r>
        <w:t>Biological Effects</w:t>
      </w:r>
    </w:p>
    <w:p w14:paraId="48758D79" w14:textId="77777777" w:rsidR="001E7846" w:rsidRDefault="00000000">
      <w:pPr>
        <w:pStyle w:val="H21"/>
      </w:pPr>
      <w:r>
        <w:t>Hormones (Endocrine)</w:t>
      </w:r>
    </w:p>
    <w:p w14:paraId="60C13D43" w14:textId="77777777" w:rsidR="001E7846" w:rsidRDefault="00000000">
      <w:pPr>
        <w:pStyle w:val="Bullet1"/>
      </w:pPr>
      <w:r>
        <w:t>Stable daily dose entrains melatonin onset and cortisol amplitude; supports mood and daytime alertness.</w:t>
      </w:r>
    </w:p>
    <w:p w14:paraId="7058192A" w14:textId="77777777" w:rsidR="001E7846" w:rsidRDefault="00000000">
      <w:pPr>
        <w:pStyle w:val="Bullet1"/>
      </w:pPr>
      <w:r>
        <w:t>Adequate daytime light supports serotonin synthesis → nighttime melatonin via AANAT/ASMT.</w:t>
      </w:r>
    </w:p>
    <w:p w14:paraId="7ECA5AB0" w14:textId="77777777" w:rsidR="001E7846" w:rsidRDefault="00000000">
      <w:pPr>
        <w:pStyle w:val="H21"/>
      </w:pPr>
      <w:r>
        <w:t>Skin (Photobiology &amp; Peripheral Clocks)</w:t>
      </w:r>
    </w:p>
    <w:p w14:paraId="34060AA6" w14:textId="77777777" w:rsidR="001E7846" w:rsidRDefault="00000000">
      <w:pPr>
        <w:pStyle w:val="Bullet1"/>
      </w:pPr>
      <w:r>
        <w:t>If outdoor daylight is included: UVB converts 7-dehydrocholesterol → previtamin D3 → vitamin D3 (liver/kidney activation to calcitriol).</w:t>
      </w:r>
    </w:p>
    <w:p w14:paraId="66D34DC1" w14:textId="77777777" w:rsidR="001E7846" w:rsidRDefault="00000000">
      <w:pPr>
        <w:pStyle w:val="H21"/>
      </w:pPr>
      <w:r>
        <w:t>Nervous System (ipRGC → SCN → CNS)</w:t>
      </w:r>
    </w:p>
    <w:p w14:paraId="535AE1F1" w14:textId="77777777" w:rsidR="001E7846" w:rsidRDefault="00000000">
      <w:pPr>
        <w:pStyle w:val="Bullet1"/>
      </w:pPr>
      <w:r>
        <w:t>SCN stabilization improves hippocampal LTP and memory consolidation; reduces daytime sleepiness/inattention.</w:t>
      </w:r>
    </w:p>
    <w:p w14:paraId="609ACBEA" w14:textId="77777777" w:rsidR="001E7846" w:rsidRDefault="00000000">
      <w:pPr>
        <w:pStyle w:val="H11"/>
      </w:pPr>
      <w:r>
        <w:t>Biochemical Pathways (Mechanistic Detail)</w:t>
      </w:r>
    </w:p>
    <w:p w14:paraId="2D8DC965" w14:textId="77777777" w:rsidR="001E7846" w:rsidRDefault="00000000">
      <w:pPr>
        <w:pStyle w:val="Bullet1"/>
      </w:pPr>
      <w:r>
        <w:t>CLOCK/BMAL1 drive PER/CRY transcription; PER/CRY proteins inhibit their own activators (negative feedback). Light via SCN sets the phase.</w:t>
      </w:r>
    </w:p>
    <w:p w14:paraId="3373E50F" w14:textId="77777777" w:rsidR="001E7846" w:rsidRDefault="00000000">
      <w:pPr>
        <w:pStyle w:val="Bullet1"/>
      </w:pPr>
      <w:r>
        <w:t>Vitamin D: skin cholecalciferol → 25(OH)D (liver) → 1,25(OH)₂D (kidney) → VDR-mediated gene transcription affecting immune/neural pathways.</w:t>
      </w:r>
    </w:p>
    <w:p w14:paraId="0027413A" w14:textId="77777777" w:rsidR="001E7846" w:rsidRDefault="00000000">
      <w:pPr>
        <w:pStyle w:val="H11"/>
      </w:pPr>
      <w:r>
        <w:lastRenderedPageBreak/>
        <w:t>Classroom Recommendations</w:t>
      </w:r>
    </w:p>
    <w:p w14:paraId="7CFDFA33" w14:textId="77777777" w:rsidR="001E7846" w:rsidRDefault="00000000">
      <w:pPr>
        <w:pStyle w:val="Bullet1"/>
      </w:pPr>
      <w:r>
        <w:t>Schedule brightest/most blue-enriched scenes in first school hours; calmer/warmer scenes later.</w:t>
      </w:r>
    </w:p>
    <w:p w14:paraId="36747635" w14:textId="77777777" w:rsidR="001E7846" w:rsidRDefault="00000000">
      <w:pPr>
        <w:pStyle w:val="Bullet1"/>
      </w:pPr>
      <w:r>
        <w:t>Encourage outdoor breaks when feasible to supplement daylight dose.</w:t>
      </w:r>
    </w:p>
    <w:p w14:paraId="2CE7A4E6" w14:textId="77777777" w:rsidR="001E7846" w:rsidRDefault="00000000">
      <w:pPr>
        <w:pStyle w:val="H11"/>
      </w:pPr>
      <w:r>
        <w:t>Quick Checklist</w:t>
      </w:r>
    </w:p>
    <w:p w14:paraId="4DADD6A2" w14:textId="77777777" w:rsidR="001E7846" w:rsidRDefault="00000000">
      <w:pPr>
        <w:pStyle w:val="Bullet1"/>
      </w:pPr>
      <w:r>
        <w:t>Morning light block achieved (≥2 h).</w:t>
      </w:r>
    </w:p>
    <w:p w14:paraId="210FDED8" w14:textId="77777777" w:rsidR="001E7846" w:rsidRDefault="00000000">
      <w:pPr>
        <w:pStyle w:val="Bullet1"/>
      </w:pPr>
      <w:r>
        <w:t>Scene schedules mapped to timetable; holidays and seasonality considered.</w:t>
      </w:r>
    </w:p>
    <w:p w14:paraId="78E4BDB6" w14:textId="77777777" w:rsidR="001E7846" w:rsidRDefault="00000000">
      <w:pPr>
        <w:pStyle w:val="H11"/>
      </w:pPr>
      <w:r>
        <w:t>References</w:t>
      </w:r>
    </w:p>
    <w:p w14:paraId="7A4EE6A0" w14:textId="77777777" w:rsidR="001E7846" w:rsidRDefault="00000000">
      <w:pPr>
        <w:pStyle w:val="Bullet1"/>
      </w:pPr>
      <w:r>
        <w:t>Brown TM et al. (2022) — Guidance on timing and reporting of non-visual light.</w:t>
      </w:r>
    </w:p>
    <w:p w14:paraId="3FF27D8A" w14:textId="77777777" w:rsidR="001E7846" w:rsidRDefault="00000000">
      <w:pPr>
        <w:pStyle w:val="Bullet1"/>
      </w:pPr>
      <w:r>
        <w:t>Chronobiology literature: PER/CRY entrainment and cognitive outcomes.</w:t>
      </w:r>
    </w:p>
    <w:sectPr w:rsidR="001E7846" w:rsidSect="00F04B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7A46" w14:textId="77777777" w:rsidR="00F04BBB" w:rsidRDefault="00F04BBB" w:rsidP="00E6700F">
      <w:pPr>
        <w:spacing w:after="0" w:line="240" w:lineRule="auto"/>
      </w:pPr>
      <w:r>
        <w:separator/>
      </w:r>
    </w:p>
  </w:endnote>
  <w:endnote w:type="continuationSeparator" w:id="0">
    <w:p w14:paraId="55BC4B4C" w14:textId="77777777" w:rsidR="00F04BBB" w:rsidRDefault="00F04BBB" w:rsidP="00E67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777E" w14:textId="77777777" w:rsidR="00F04BBB" w:rsidRDefault="00F04BBB" w:rsidP="00E6700F">
      <w:pPr>
        <w:spacing w:after="0" w:line="240" w:lineRule="auto"/>
      </w:pPr>
      <w:r>
        <w:separator/>
      </w:r>
    </w:p>
  </w:footnote>
  <w:footnote w:type="continuationSeparator" w:id="0">
    <w:p w14:paraId="5E9BDBF4" w14:textId="77777777" w:rsidR="00F04BBB" w:rsidRDefault="00F04BBB" w:rsidP="00E67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641530">
    <w:abstractNumId w:val="8"/>
  </w:num>
  <w:num w:numId="2" w16cid:durableId="1969361341">
    <w:abstractNumId w:val="6"/>
  </w:num>
  <w:num w:numId="3" w16cid:durableId="185095195">
    <w:abstractNumId w:val="5"/>
  </w:num>
  <w:num w:numId="4" w16cid:durableId="787822437">
    <w:abstractNumId w:val="4"/>
  </w:num>
  <w:num w:numId="5" w16cid:durableId="647124821">
    <w:abstractNumId w:val="7"/>
  </w:num>
  <w:num w:numId="6" w16cid:durableId="1406536917">
    <w:abstractNumId w:val="3"/>
  </w:num>
  <w:num w:numId="7" w16cid:durableId="135611702">
    <w:abstractNumId w:val="2"/>
  </w:num>
  <w:num w:numId="8" w16cid:durableId="1352104860">
    <w:abstractNumId w:val="1"/>
  </w:num>
  <w:num w:numId="9" w16cid:durableId="162958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E7846"/>
    <w:rsid w:val="0029639D"/>
    <w:rsid w:val="00326F90"/>
    <w:rsid w:val="00947FBE"/>
    <w:rsid w:val="009502FC"/>
    <w:rsid w:val="00AA1D8D"/>
    <w:rsid w:val="00B47730"/>
    <w:rsid w:val="00CB0664"/>
    <w:rsid w:val="00D706F4"/>
    <w:rsid w:val="00E6700F"/>
    <w:rsid w:val="00F04BBB"/>
    <w:rsid w:val="00FB3C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FAEA71"/>
  <w14:defaultImageDpi w14:val="300"/>
  <w15:docId w15:val="{BF8147F0-1F1D-4463-8B8B-6C20C6A4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1"/>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1"/>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1"/>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1"/>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1"/>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1"/>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1"/>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1"/>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uiPriority w:val="99"/>
    <w:rsid w:val="00E618BF"/>
  </w:style>
  <w:style w:type="paragraph" w:styleId="Footer">
    <w:name w:val="footer"/>
    <w:basedOn w:val="Normal"/>
    <w:link w:val="FooterChar1"/>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1"/>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1"/>
    <w:uiPriority w:val="99"/>
    <w:unhideWhenUsed/>
    <w:rsid w:val="00AA1D8D"/>
    <w:pPr>
      <w:spacing w:after="120"/>
    </w:pPr>
  </w:style>
  <w:style w:type="character" w:customStyle="1" w:styleId="BodyTextChar">
    <w:name w:val="Body Text Char"/>
    <w:basedOn w:val="DefaultParagraphFont"/>
    <w:uiPriority w:val="99"/>
    <w:rsid w:val="00AA1D8D"/>
  </w:style>
  <w:style w:type="paragraph" w:styleId="BodyText2">
    <w:name w:val="Body Text 2"/>
    <w:basedOn w:val="Normal"/>
    <w:link w:val="BodyText2Char1"/>
    <w:uiPriority w:val="99"/>
    <w:unhideWhenUsed/>
    <w:rsid w:val="00AA1D8D"/>
    <w:pPr>
      <w:spacing w:after="120" w:line="480" w:lineRule="auto"/>
    </w:pPr>
  </w:style>
  <w:style w:type="character" w:customStyle="1" w:styleId="BodyText2Char">
    <w:name w:val="Body Text 2 Char"/>
    <w:basedOn w:val="DefaultParagraphFont"/>
    <w:uiPriority w:val="99"/>
    <w:rsid w:val="00AA1D8D"/>
  </w:style>
  <w:style w:type="paragraph" w:styleId="BodyText3">
    <w:name w:val="Body Text 3"/>
    <w:basedOn w:val="Normal"/>
    <w:link w:val="BodyText3Char1"/>
    <w:uiPriority w:val="99"/>
    <w:unhideWhenUsed/>
    <w:rsid w:val="00AA1D8D"/>
    <w:pPr>
      <w:spacing w:after="120"/>
    </w:pPr>
    <w:rPr>
      <w:sz w:val="16"/>
      <w:szCs w:val="16"/>
    </w:rPr>
  </w:style>
  <w:style w:type="character" w:customStyle="1" w:styleId="BodyText3Char">
    <w:name w:val="Body Text 3 Char"/>
    <w:basedOn w:val="DefaultParagraphFont"/>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1"/>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uiPriority w:val="99"/>
    <w:rsid w:val="0029639D"/>
    <w:rPr>
      <w:rFonts w:ascii="Courier" w:hAnsi="Courier"/>
      <w:sz w:val="20"/>
      <w:szCs w:val="20"/>
    </w:rPr>
  </w:style>
  <w:style w:type="paragraph" w:styleId="Quote">
    <w:name w:val="Quote"/>
    <w:basedOn w:val="Normal"/>
    <w:next w:val="Normal"/>
    <w:link w:val="QuoteChar1"/>
    <w:uiPriority w:val="29"/>
    <w:qFormat/>
    <w:rsid w:val="00FC693F"/>
    <w:rPr>
      <w:i/>
      <w:iCs/>
      <w:color w:val="000000" w:themeColor="text1"/>
    </w:rPr>
  </w:style>
  <w:style w:type="character" w:customStyle="1" w:styleId="QuoteChar">
    <w:name w:val="Quote Char"/>
    <w:basedOn w:val="DefaultParagraphFont"/>
    <w:uiPriority w:val="29"/>
    <w:rsid w:val="00FC693F"/>
    <w:rPr>
      <w:i/>
      <w:iCs/>
      <w:color w:val="000000" w:themeColor="text1"/>
    </w:rPr>
  </w:style>
  <w:style w:type="character" w:customStyle="1" w:styleId="Heading4Char">
    <w:name w:val="Heading 4 Char"/>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1"/>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Large">
    <w:name w:val="TitleLarge"/>
    <w:basedOn w:val="Title"/>
    <w:rPr>
      <w:rFonts w:ascii="Calibri" w:hAnsi="Calibri"/>
      <w:b/>
    </w:rPr>
  </w:style>
  <w:style w:type="paragraph" w:customStyle="1" w:styleId="H1">
    <w:name w:val="H1"/>
    <w:basedOn w:val="Heading1"/>
    <w:rPr>
      <w:rFonts w:ascii="Calibri" w:hAnsi="Calibri"/>
      <w:sz w:val="32"/>
    </w:rPr>
  </w:style>
  <w:style w:type="paragraph" w:customStyle="1" w:styleId="Body">
    <w:name w:val="Body"/>
    <w:basedOn w:val="Normal"/>
    <w:rPr>
      <w:rFonts w:ascii="Calibri" w:hAnsi="Calibri"/>
    </w:rPr>
  </w:style>
  <w:style w:type="character" w:customStyle="1" w:styleId="HeaderChar9">
    <w:name w:val="Header Char9"/>
    <w:basedOn w:val="DefaultParagraphFont"/>
    <w:uiPriority w:val="99"/>
    <w:rsid w:val="00E618BF"/>
  </w:style>
  <w:style w:type="character" w:customStyle="1" w:styleId="FooterChar9">
    <w:name w:val="Footer Char9"/>
    <w:basedOn w:val="DefaultParagraphFont"/>
    <w:uiPriority w:val="99"/>
    <w:rsid w:val="00E618BF"/>
  </w:style>
  <w:style w:type="character" w:customStyle="1" w:styleId="Heading1Char9">
    <w:name w:val="Heading 1 Char9"/>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9">
    <w:name w:val="Heading 2 Char9"/>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9">
    <w:name w:val="Heading 3 Char9"/>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9">
    <w:name w:val="Title Char9"/>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9">
    <w:name w:val="Subtitle Char9"/>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9">
    <w:name w:val="Body Text Char9"/>
    <w:basedOn w:val="DefaultParagraphFont"/>
    <w:uiPriority w:val="99"/>
    <w:rsid w:val="00AA1D8D"/>
  </w:style>
  <w:style w:type="character" w:customStyle="1" w:styleId="BodyText2Char9">
    <w:name w:val="Body Text 2 Char9"/>
    <w:basedOn w:val="DefaultParagraphFont"/>
    <w:uiPriority w:val="99"/>
    <w:rsid w:val="00AA1D8D"/>
  </w:style>
  <w:style w:type="character" w:customStyle="1" w:styleId="BodyText3Char9">
    <w:name w:val="Body Text 3 Char9"/>
    <w:basedOn w:val="DefaultParagraphFont"/>
    <w:uiPriority w:val="99"/>
    <w:rsid w:val="00AA1D8D"/>
    <w:rPr>
      <w:sz w:val="16"/>
      <w:szCs w:val="16"/>
    </w:rPr>
  </w:style>
  <w:style w:type="character" w:customStyle="1" w:styleId="MacroTextChar9">
    <w:name w:val="Macro Text Char9"/>
    <w:basedOn w:val="DefaultParagraphFont"/>
    <w:uiPriority w:val="99"/>
    <w:rsid w:val="0029639D"/>
    <w:rPr>
      <w:rFonts w:ascii="Courier" w:hAnsi="Courier"/>
      <w:sz w:val="20"/>
      <w:szCs w:val="20"/>
    </w:rPr>
  </w:style>
  <w:style w:type="character" w:customStyle="1" w:styleId="QuoteChar9">
    <w:name w:val="Quote Char9"/>
    <w:basedOn w:val="DefaultParagraphFont"/>
    <w:uiPriority w:val="29"/>
    <w:rsid w:val="00FC693F"/>
    <w:rPr>
      <w:i/>
      <w:iCs/>
      <w:color w:val="000000" w:themeColor="text1"/>
    </w:rPr>
  </w:style>
  <w:style w:type="character" w:customStyle="1" w:styleId="Heading4Char9">
    <w:name w:val="Heading 4 Char9"/>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9">
    <w:name w:val="Heading 5 Char9"/>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9">
    <w:name w:val="Heading 6 Char9"/>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9">
    <w:name w:val="Heading 7 Char9"/>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9">
    <w:name w:val="Heading 8 Char9"/>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9">
    <w:name w:val="Heading 9 Char9"/>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9">
    <w:name w:val="Intense Quote Char9"/>
    <w:basedOn w:val="DefaultParagraphFont"/>
    <w:uiPriority w:val="30"/>
    <w:rsid w:val="00FC693F"/>
    <w:rPr>
      <w:b/>
      <w:bCs/>
      <w:i/>
      <w:iCs/>
      <w:color w:val="4F81BD" w:themeColor="accent1"/>
    </w:rPr>
  </w:style>
  <w:style w:type="paragraph" w:customStyle="1" w:styleId="TitleLarge9">
    <w:name w:val="TitleLarge9"/>
    <w:basedOn w:val="Title"/>
    <w:rPr>
      <w:rFonts w:ascii="Calibri" w:hAnsi="Calibri"/>
      <w:b/>
      <w:sz w:val="56"/>
    </w:rPr>
  </w:style>
  <w:style w:type="paragraph" w:customStyle="1" w:styleId="H19">
    <w:name w:val="H19"/>
    <w:basedOn w:val="Heading1"/>
    <w:rPr>
      <w:rFonts w:ascii="Calibri" w:hAnsi="Calibri"/>
      <w:sz w:val="36"/>
    </w:rPr>
  </w:style>
  <w:style w:type="paragraph" w:customStyle="1" w:styleId="H2">
    <w:name w:val="H2"/>
    <w:basedOn w:val="Heading2"/>
    <w:rPr>
      <w:rFonts w:ascii="Calibri" w:hAnsi="Calibri"/>
      <w:sz w:val="28"/>
    </w:rPr>
  </w:style>
  <w:style w:type="paragraph" w:customStyle="1" w:styleId="Body9">
    <w:name w:val="Body9"/>
    <w:basedOn w:val="Normal"/>
    <w:rPr>
      <w:rFonts w:ascii="Calibri" w:hAnsi="Calibri"/>
    </w:rPr>
  </w:style>
  <w:style w:type="paragraph" w:customStyle="1" w:styleId="Bullet">
    <w:name w:val="Bullet"/>
    <w:basedOn w:val="ListBullet"/>
    <w:rPr>
      <w:rFonts w:ascii="Calibri" w:hAnsi="Calibri"/>
    </w:rPr>
  </w:style>
  <w:style w:type="character" w:customStyle="1" w:styleId="HeaderChar8">
    <w:name w:val="Header Char8"/>
    <w:basedOn w:val="DefaultParagraphFont"/>
    <w:uiPriority w:val="99"/>
    <w:rsid w:val="00E618BF"/>
  </w:style>
  <w:style w:type="character" w:customStyle="1" w:styleId="FooterChar8">
    <w:name w:val="Footer Char8"/>
    <w:basedOn w:val="DefaultParagraphFont"/>
    <w:uiPriority w:val="99"/>
    <w:rsid w:val="00E618BF"/>
  </w:style>
  <w:style w:type="character" w:customStyle="1" w:styleId="Heading1Char8">
    <w:name w:val="Heading 1 Char8"/>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8">
    <w:name w:val="Heading 2 Char8"/>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8">
    <w:name w:val="Heading 3 Char8"/>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8">
    <w:name w:val="Title Char8"/>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8">
    <w:name w:val="Subtitle Char8"/>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8">
    <w:name w:val="Body Text Char8"/>
    <w:basedOn w:val="DefaultParagraphFont"/>
    <w:uiPriority w:val="99"/>
    <w:rsid w:val="00AA1D8D"/>
  </w:style>
  <w:style w:type="character" w:customStyle="1" w:styleId="BodyText2Char8">
    <w:name w:val="Body Text 2 Char8"/>
    <w:basedOn w:val="DefaultParagraphFont"/>
    <w:uiPriority w:val="99"/>
    <w:rsid w:val="00AA1D8D"/>
  </w:style>
  <w:style w:type="character" w:customStyle="1" w:styleId="BodyText3Char8">
    <w:name w:val="Body Text 3 Char8"/>
    <w:basedOn w:val="DefaultParagraphFont"/>
    <w:uiPriority w:val="99"/>
    <w:rsid w:val="00AA1D8D"/>
    <w:rPr>
      <w:sz w:val="16"/>
      <w:szCs w:val="16"/>
    </w:rPr>
  </w:style>
  <w:style w:type="character" w:customStyle="1" w:styleId="MacroTextChar8">
    <w:name w:val="Macro Text Char8"/>
    <w:basedOn w:val="DefaultParagraphFont"/>
    <w:uiPriority w:val="99"/>
    <w:rsid w:val="0029639D"/>
    <w:rPr>
      <w:rFonts w:ascii="Courier" w:hAnsi="Courier"/>
      <w:sz w:val="20"/>
      <w:szCs w:val="20"/>
    </w:rPr>
  </w:style>
  <w:style w:type="character" w:customStyle="1" w:styleId="QuoteChar8">
    <w:name w:val="Quote Char8"/>
    <w:basedOn w:val="DefaultParagraphFont"/>
    <w:uiPriority w:val="29"/>
    <w:rsid w:val="00FC693F"/>
    <w:rPr>
      <w:i/>
      <w:iCs/>
      <w:color w:val="000000" w:themeColor="text1"/>
    </w:rPr>
  </w:style>
  <w:style w:type="character" w:customStyle="1" w:styleId="Heading4Char8">
    <w:name w:val="Heading 4 Char8"/>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8">
    <w:name w:val="Heading 5 Char8"/>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8">
    <w:name w:val="Heading 6 Char8"/>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8">
    <w:name w:val="Heading 7 Char8"/>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8">
    <w:name w:val="Heading 8 Char8"/>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8">
    <w:name w:val="Heading 9 Char8"/>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8">
    <w:name w:val="Intense Quote Char8"/>
    <w:basedOn w:val="DefaultParagraphFont"/>
    <w:uiPriority w:val="30"/>
    <w:rsid w:val="00FC693F"/>
    <w:rPr>
      <w:b/>
      <w:bCs/>
      <w:i/>
      <w:iCs/>
      <w:color w:val="4F81BD" w:themeColor="accent1"/>
    </w:rPr>
  </w:style>
  <w:style w:type="paragraph" w:customStyle="1" w:styleId="TitleLarge8">
    <w:name w:val="TitleLarge8"/>
    <w:basedOn w:val="Title"/>
    <w:rPr>
      <w:rFonts w:ascii="Calibri" w:hAnsi="Calibri"/>
      <w:b/>
      <w:sz w:val="56"/>
    </w:rPr>
  </w:style>
  <w:style w:type="paragraph" w:customStyle="1" w:styleId="H18">
    <w:name w:val="H18"/>
    <w:basedOn w:val="Heading1"/>
    <w:rPr>
      <w:rFonts w:ascii="Calibri" w:hAnsi="Calibri"/>
      <w:sz w:val="36"/>
    </w:rPr>
  </w:style>
  <w:style w:type="paragraph" w:customStyle="1" w:styleId="H28">
    <w:name w:val="H28"/>
    <w:basedOn w:val="Heading2"/>
    <w:rPr>
      <w:rFonts w:ascii="Calibri" w:hAnsi="Calibri"/>
      <w:sz w:val="28"/>
    </w:rPr>
  </w:style>
  <w:style w:type="paragraph" w:customStyle="1" w:styleId="Body8">
    <w:name w:val="Body8"/>
    <w:basedOn w:val="Normal"/>
    <w:rPr>
      <w:rFonts w:ascii="Calibri" w:hAnsi="Calibri"/>
    </w:rPr>
  </w:style>
  <w:style w:type="paragraph" w:customStyle="1" w:styleId="Bullet8">
    <w:name w:val="Bullet8"/>
    <w:basedOn w:val="ListBullet"/>
    <w:rPr>
      <w:rFonts w:ascii="Calibri" w:hAnsi="Calibri"/>
    </w:rPr>
  </w:style>
  <w:style w:type="character" w:customStyle="1" w:styleId="HeaderChar7">
    <w:name w:val="Header Char7"/>
    <w:basedOn w:val="DefaultParagraphFont"/>
    <w:uiPriority w:val="99"/>
    <w:rsid w:val="00E618BF"/>
  </w:style>
  <w:style w:type="character" w:customStyle="1" w:styleId="FooterChar7">
    <w:name w:val="Footer Char7"/>
    <w:basedOn w:val="DefaultParagraphFont"/>
    <w:uiPriority w:val="99"/>
    <w:rsid w:val="00E618BF"/>
  </w:style>
  <w:style w:type="character" w:customStyle="1" w:styleId="Heading1Char7">
    <w:name w:val="Heading 1 Char7"/>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7">
    <w:name w:val="Heading 2 Char7"/>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7">
    <w:name w:val="Heading 3 Char7"/>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7">
    <w:name w:val="Title Char7"/>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7">
    <w:name w:val="Subtitle Char7"/>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7">
    <w:name w:val="Body Text Char7"/>
    <w:basedOn w:val="DefaultParagraphFont"/>
    <w:uiPriority w:val="99"/>
    <w:rsid w:val="00AA1D8D"/>
  </w:style>
  <w:style w:type="character" w:customStyle="1" w:styleId="BodyText2Char7">
    <w:name w:val="Body Text 2 Char7"/>
    <w:basedOn w:val="DefaultParagraphFont"/>
    <w:uiPriority w:val="99"/>
    <w:rsid w:val="00AA1D8D"/>
  </w:style>
  <w:style w:type="character" w:customStyle="1" w:styleId="BodyText3Char7">
    <w:name w:val="Body Text 3 Char7"/>
    <w:basedOn w:val="DefaultParagraphFont"/>
    <w:uiPriority w:val="99"/>
    <w:rsid w:val="00AA1D8D"/>
    <w:rPr>
      <w:sz w:val="16"/>
      <w:szCs w:val="16"/>
    </w:rPr>
  </w:style>
  <w:style w:type="character" w:customStyle="1" w:styleId="MacroTextChar7">
    <w:name w:val="Macro Text Char7"/>
    <w:basedOn w:val="DefaultParagraphFont"/>
    <w:uiPriority w:val="99"/>
    <w:rsid w:val="0029639D"/>
    <w:rPr>
      <w:rFonts w:ascii="Courier" w:hAnsi="Courier"/>
      <w:sz w:val="20"/>
      <w:szCs w:val="20"/>
    </w:rPr>
  </w:style>
  <w:style w:type="character" w:customStyle="1" w:styleId="QuoteChar7">
    <w:name w:val="Quote Char7"/>
    <w:basedOn w:val="DefaultParagraphFont"/>
    <w:uiPriority w:val="29"/>
    <w:rsid w:val="00FC693F"/>
    <w:rPr>
      <w:i/>
      <w:iCs/>
      <w:color w:val="000000" w:themeColor="text1"/>
    </w:rPr>
  </w:style>
  <w:style w:type="character" w:customStyle="1" w:styleId="Heading4Char7">
    <w:name w:val="Heading 4 Char7"/>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7">
    <w:name w:val="Heading 5 Char7"/>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7">
    <w:name w:val="Heading 6 Char7"/>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7">
    <w:name w:val="Heading 7 Char7"/>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7">
    <w:name w:val="Heading 8 Char7"/>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7">
    <w:name w:val="Heading 9 Char7"/>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7">
    <w:name w:val="Intense Quote Char7"/>
    <w:basedOn w:val="DefaultParagraphFont"/>
    <w:uiPriority w:val="30"/>
    <w:rsid w:val="00FC693F"/>
    <w:rPr>
      <w:b/>
      <w:bCs/>
      <w:i/>
      <w:iCs/>
      <w:color w:val="4F81BD" w:themeColor="accent1"/>
    </w:rPr>
  </w:style>
  <w:style w:type="paragraph" w:customStyle="1" w:styleId="TitleLarge7">
    <w:name w:val="TitleLarge7"/>
    <w:basedOn w:val="Title"/>
    <w:rPr>
      <w:rFonts w:ascii="Calibri" w:hAnsi="Calibri"/>
      <w:b/>
      <w:sz w:val="56"/>
    </w:rPr>
  </w:style>
  <w:style w:type="paragraph" w:customStyle="1" w:styleId="H17">
    <w:name w:val="H17"/>
    <w:basedOn w:val="Heading1"/>
    <w:rPr>
      <w:rFonts w:ascii="Calibri" w:hAnsi="Calibri"/>
      <w:sz w:val="36"/>
    </w:rPr>
  </w:style>
  <w:style w:type="paragraph" w:customStyle="1" w:styleId="H27">
    <w:name w:val="H27"/>
    <w:basedOn w:val="Heading2"/>
    <w:rPr>
      <w:rFonts w:ascii="Calibri" w:hAnsi="Calibri"/>
      <w:sz w:val="28"/>
    </w:rPr>
  </w:style>
  <w:style w:type="paragraph" w:customStyle="1" w:styleId="Body7">
    <w:name w:val="Body7"/>
    <w:basedOn w:val="Normal"/>
    <w:rPr>
      <w:rFonts w:ascii="Calibri" w:hAnsi="Calibri"/>
    </w:rPr>
  </w:style>
  <w:style w:type="paragraph" w:customStyle="1" w:styleId="Bullet7">
    <w:name w:val="Bullet7"/>
    <w:basedOn w:val="ListBullet"/>
    <w:rPr>
      <w:rFonts w:ascii="Calibri" w:hAnsi="Calibri"/>
    </w:rPr>
  </w:style>
  <w:style w:type="character" w:customStyle="1" w:styleId="HeaderChar6">
    <w:name w:val="Header Char6"/>
    <w:basedOn w:val="DefaultParagraphFont"/>
    <w:uiPriority w:val="99"/>
    <w:rsid w:val="00E618BF"/>
  </w:style>
  <w:style w:type="character" w:customStyle="1" w:styleId="FooterChar6">
    <w:name w:val="Footer Char6"/>
    <w:basedOn w:val="DefaultParagraphFont"/>
    <w:uiPriority w:val="99"/>
    <w:rsid w:val="00E618BF"/>
  </w:style>
  <w:style w:type="character" w:customStyle="1" w:styleId="Heading1Char6">
    <w:name w:val="Heading 1 Char6"/>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6">
    <w:name w:val="Heading 2 Char6"/>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6">
    <w:name w:val="Heading 3 Char6"/>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6">
    <w:name w:val="Title Char6"/>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6">
    <w:name w:val="Subtitle Char6"/>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6">
    <w:name w:val="Body Text Char6"/>
    <w:basedOn w:val="DefaultParagraphFont"/>
    <w:uiPriority w:val="99"/>
    <w:rsid w:val="00AA1D8D"/>
  </w:style>
  <w:style w:type="character" w:customStyle="1" w:styleId="BodyText2Char6">
    <w:name w:val="Body Text 2 Char6"/>
    <w:basedOn w:val="DefaultParagraphFont"/>
    <w:uiPriority w:val="99"/>
    <w:rsid w:val="00AA1D8D"/>
  </w:style>
  <w:style w:type="character" w:customStyle="1" w:styleId="BodyText3Char6">
    <w:name w:val="Body Text 3 Char6"/>
    <w:basedOn w:val="DefaultParagraphFont"/>
    <w:uiPriority w:val="99"/>
    <w:rsid w:val="00AA1D8D"/>
    <w:rPr>
      <w:sz w:val="16"/>
      <w:szCs w:val="16"/>
    </w:rPr>
  </w:style>
  <w:style w:type="character" w:customStyle="1" w:styleId="MacroTextChar6">
    <w:name w:val="Macro Text Char6"/>
    <w:basedOn w:val="DefaultParagraphFont"/>
    <w:uiPriority w:val="99"/>
    <w:rsid w:val="0029639D"/>
    <w:rPr>
      <w:rFonts w:ascii="Courier" w:hAnsi="Courier"/>
      <w:sz w:val="20"/>
      <w:szCs w:val="20"/>
    </w:rPr>
  </w:style>
  <w:style w:type="character" w:customStyle="1" w:styleId="QuoteChar6">
    <w:name w:val="Quote Char6"/>
    <w:basedOn w:val="DefaultParagraphFont"/>
    <w:uiPriority w:val="29"/>
    <w:rsid w:val="00FC693F"/>
    <w:rPr>
      <w:i/>
      <w:iCs/>
      <w:color w:val="000000" w:themeColor="text1"/>
    </w:rPr>
  </w:style>
  <w:style w:type="character" w:customStyle="1" w:styleId="Heading4Char6">
    <w:name w:val="Heading 4 Char6"/>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6">
    <w:name w:val="Heading 5 Char6"/>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6">
    <w:name w:val="Heading 6 Char6"/>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6">
    <w:name w:val="Heading 7 Char6"/>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6">
    <w:name w:val="Heading 8 Char6"/>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6">
    <w:name w:val="Heading 9 Char6"/>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6">
    <w:name w:val="Intense Quote Char6"/>
    <w:basedOn w:val="DefaultParagraphFont"/>
    <w:uiPriority w:val="30"/>
    <w:rsid w:val="00FC693F"/>
    <w:rPr>
      <w:b/>
      <w:bCs/>
      <w:i/>
      <w:iCs/>
      <w:color w:val="4F81BD" w:themeColor="accent1"/>
    </w:rPr>
  </w:style>
  <w:style w:type="paragraph" w:customStyle="1" w:styleId="TitleLarge6">
    <w:name w:val="TitleLarge6"/>
    <w:basedOn w:val="Title"/>
    <w:rPr>
      <w:rFonts w:ascii="Calibri" w:hAnsi="Calibri"/>
      <w:b/>
      <w:sz w:val="56"/>
    </w:rPr>
  </w:style>
  <w:style w:type="paragraph" w:customStyle="1" w:styleId="H16">
    <w:name w:val="H16"/>
    <w:basedOn w:val="Heading1"/>
    <w:rPr>
      <w:rFonts w:ascii="Calibri" w:hAnsi="Calibri"/>
      <w:sz w:val="36"/>
    </w:rPr>
  </w:style>
  <w:style w:type="paragraph" w:customStyle="1" w:styleId="H26">
    <w:name w:val="H26"/>
    <w:basedOn w:val="Heading2"/>
    <w:rPr>
      <w:rFonts w:ascii="Calibri" w:hAnsi="Calibri"/>
      <w:sz w:val="28"/>
    </w:rPr>
  </w:style>
  <w:style w:type="paragraph" w:customStyle="1" w:styleId="Body6">
    <w:name w:val="Body6"/>
    <w:basedOn w:val="Normal"/>
    <w:rPr>
      <w:rFonts w:ascii="Calibri" w:hAnsi="Calibri"/>
    </w:rPr>
  </w:style>
  <w:style w:type="paragraph" w:customStyle="1" w:styleId="Bullet6">
    <w:name w:val="Bullet6"/>
    <w:basedOn w:val="ListBullet"/>
    <w:rPr>
      <w:rFonts w:ascii="Calibri" w:hAnsi="Calibri"/>
    </w:rPr>
  </w:style>
  <w:style w:type="character" w:customStyle="1" w:styleId="HeaderChar5">
    <w:name w:val="Header Char5"/>
    <w:basedOn w:val="DefaultParagraphFont"/>
    <w:uiPriority w:val="99"/>
    <w:rsid w:val="00E618BF"/>
  </w:style>
  <w:style w:type="character" w:customStyle="1" w:styleId="FooterChar5">
    <w:name w:val="Footer Char5"/>
    <w:basedOn w:val="DefaultParagraphFont"/>
    <w:uiPriority w:val="99"/>
    <w:rsid w:val="00E618BF"/>
  </w:style>
  <w:style w:type="character" w:customStyle="1" w:styleId="Heading1Char5">
    <w:name w:val="Heading 1 Char5"/>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5">
    <w:name w:val="Heading 2 Char5"/>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5">
    <w:name w:val="Heading 3 Char5"/>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5">
    <w:name w:val="Title Char5"/>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5">
    <w:name w:val="Subtitle Char5"/>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5">
    <w:name w:val="Body Text Char5"/>
    <w:basedOn w:val="DefaultParagraphFont"/>
    <w:uiPriority w:val="99"/>
    <w:rsid w:val="00AA1D8D"/>
  </w:style>
  <w:style w:type="character" w:customStyle="1" w:styleId="BodyText2Char5">
    <w:name w:val="Body Text 2 Char5"/>
    <w:basedOn w:val="DefaultParagraphFont"/>
    <w:uiPriority w:val="99"/>
    <w:rsid w:val="00AA1D8D"/>
  </w:style>
  <w:style w:type="character" w:customStyle="1" w:styleId="BodyText3Char5">
    <w:name w:val="Body Text 3 Char5"/>
    <w:basedOn w:val="DefaultParagraphFont"/>
    <w:uiPriority w:val="99"/>
    <w:rsid w:val="00AA1D8D"/>
    <w:rPr>
      <w:sz w:val="16"/>
      <w:szCs w:val="16"/>
    </w:rPr>
  </w:style>
  <w:style w:type="character" w:customStyle="1" w:styleId="MacroTextChar5">
    <w:name w:val="Macro Text Char5"/>
    <w:basedOn w:val="DefaultParagraphFont"/>
    <w:uiPriority w:val="99"/>
    <w:rsid w:val="0029639D"/>
    <w:rPr>
      <w:rFonts w:ascii="Courier" w:hAnsi="Courier"/>
      <w:sz w:val="20"/>
      <w:szCs w:val="20"/>
    </w:rPr>
  </w:style>
  <w:style w:type="character" w:customStyle="1" w:styleId="QuoteChar5">
    <w:name w:val="Quote Char5"/>
    <w:basedOn w:val="DefaultParagraphFont"/>
    <w:uiPriority w:val="29"/>
    <w:rsid w:val="00FC693F"/>
    <w:rPr>
      <w:i/>
      <w:iCs/>
      <w:color w:val="000000" w:themeColor="text1"/>
    </w:rPr>
  </w:style>
  <w:style w:type="character" w:customStyle="1" w:styleId="Heading4Char5">
    <w:name w:val="Heading 4 Char5"/>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5">
    <w:name w:val="Heading 5 Char5"/>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5">
    <w:name w:val="Heading 6 Char5"/>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5">
    <w:name w:val="Heading 7 Char5"/>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5">
    <w:name w:val="Heading 8 Char5"/>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5">
    <w:name w:val="Heading 9 Char5"/>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5">
    <w:name w:val="Intense Quote Char5"/>
    <w:basedOn w:val="DefaultParagraphFont"/>
    <w:uiPriority w:val="30"/>
    <w:rsid w:val="00FC693F"/>
    <w:rPr>
      <w:b/>
      <w:bCs/>
      <w:i/>
      <w:iCs/>
      <w:color w:val="4F81BD" w:themeColor="accent1"/>
    </w:rPr>
  </w:style>
  <w:style w:type="paragraph" w:customStyle="1" w:styleId="TitleLarge5">
    <w:name w:val="TitleLarge5"/>
    <w:basedOn w:val="Title"/>
    <w:rPr>
      <w:rFonts w:ascii="Calibri" w:hAnsi="Calibri"/>
      <w:b/>
      <w:sz w:val="56"/>
    </w:rPr>
  </w:style>
  <w:style w:type="paragraph" w:customStyle="1" w:styleId="H15">
    <w:name w:val="H15"/>
    <w:basedOn w:val="Heading1"/>
    <w:rPr>
      <w:rFonts w:ascii="Calibri" w:hAnsi="Calibri"/>
      <w:sz w:val="36"/>
    </w:rPr>
  </w:style>
  <w:style w:type="paragraph" w:customStyle="1" w:styleId="H25">
    <w:name w:val="H25"/>
    <w:basedOn w:val="Heading2"/>
    <w:rPr>
      <w:rFonts w:ascii="Calibri" w:hAnsi="Calibri"/>
      <w:sz w:val="28"/>
    </w:rPr>
  </w:style>
  <w:style w:type="paragraph" w:customStyle="1" w:styleId="Body5">
    <w:name w:val="Body5"/>
    <w:basedOn w:val="Normal"/>
    <w:rPr>
      <w:rFonts w:ascii="Calibri" w:hAnsi="Calibri"/>
    </w:rPr>
  </w:style>
  <w:style w:type="paragraph" w:customStyle="1" w:styleId="Bullet5">
    <w:name w:val="Bullet5"/>
    <w:basedOn w:val="ListBullet"/>
    <w:rPr>
      <w:rFonts w:ascii="Calibri" w:hAnsi="Calibri"/>
    </w:rPr>
  </w:style>
  <w:style w:type="character" w:customStyle="1" w:styleId="HeaderChar4">
    <w:name w:val="Header Char4"/>
    <w:basedOn w:val="DefaultParagraphFont"/>
    <w:uiPriority w:val="99"/>
    <w:rsid w:val="00E618BF"/>
  </w:style>
  <w:style w:type="character" w:customStyle="1" w:styleId="FooterChar4">
    <w:name w:val="Footer Char4"/>
    <w:basedOn w:val="DefaultParagraphFont"/>
    <w:uiPriority w:val="99"/>
    <w:rsid w:val="00E618BF"/>
  </w:style>
  <w:style w:type="character" w:customStyle="1" w:styleId="Heading1Char4">
    <w:name w:val="Heading 1 Char4"/>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4">
    <w:name w:val="Heading 2 Char4"/>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4">
    <w:name w:val="Heading 3 Char4"/>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4">
    <w:name w:val="Title Char4"/>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4">
    <w:name w:val="Subtitle Char4"/>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4">
    <w:name w:val="Body Text Char4"/>
    <w:basedOn w:val="DefaultParagraphFont"/>
    <w:uiPriority w:val="99"/>
    <w:rsid w:val="00AA1D8D"/>
  </w:style>
  <w:style w:type="character" w:customStyle="1" w:styleId="BodyText2Char4">
    <w:name w:val="Body Text 2 Char4"/>
    <w:basedOn w:val="DefaultParagraphFont"/>
    <w:uiPriority w:val="99"/>
    <w:rsid w:val="00AA1D8D"/>
  </w:style>
  <w:style w:type="character" w:customStyle="1" w:styleId="BodyText3Char4">
    <w:name w:val="Body Text 3 Char4"/>
    <w:basedOn w:val="DefaultParagraphFont"/>
    <w:uiPriority w:val="99"/>
    <w:rsid w:val="00AA1D8D"/>
    <w:rPr>
      <w:sz w:val="16"/>
      <w:szCs w:val="16"/>
    </w:rPr>
  </w:style>
  <w:style w:type="character" w:customStyle="1" w:styleId="MacroTextChar4">
    <w:name w:val="Macro Text Char4"/>
    <w:basedOn w:val="DefaultParagraphFont"/>
    <w:uiPriority w:val="99"/>
    <w:rsid w:val="0029639D"/>
    <w:rPr>
      <w:rFonts w:ascii="Courier" w:hAnsi="Courier"/>
      <w:sz w:val="20"/>
      <w:szCs w:val="20"/>
    </w:rPr>
  </w:style>
  <w:style w:type="character" w:customStyle="1" w:styleId="QuoteChar4">
    <w:name w:val="Quote Char4"/>
    <w:basedOn w:val="DefaultParagraphFont"/>
    <w:uiPriority w:val="29"/>
    <w:rsid w:val="00FC693F"/>
    <w:rPr>
      <w:i/>
      <w:iCs/>
      <w:color w:val="000000" w:themeColor="text1"/>
    </w:rPr>
  </w:style>
  <w:style w:type="character" w:customStyle="1" w:styleId="Heading4Char4">
    <w:name w:val="Heading 4 Char4"/>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4">
    <w:name w:val="Heading 5 Char4"/>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4">
    <w:name w:val="Heading 6 Char4"/>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4">
    <w:name w:val="Heading 7 Char4"/>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4">
    <w:name w:val="Heading 8 Char4"/>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4">
    <w:name w:val="Heading 9 Char4"/>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4">
    <w:name w:val="Intense Quote Char4"/>
    <w:basedOn w:val="DefaultParagraphFont"/>
    <w:uiPriority w:val="30"/>
    <w:rsid w:val="00FC693F"/>
    <w:rPr>
      <w:b/>
      <w:bCs/>
      <w:i/>
      <w:iCs/>
      <w:color w:val="4F81BD" w:themeColor="accent1"/>
    </w:rPr>
  </w:style>
  <w:style w:type="paragraph" w:customStyle="1" w:styleId="TitleLarge4">
    <w:name w:val="TitleLarge4"/>
    <w:basedOn w:val="Title"/>
    <w:rPr>
      <w:rFonts w:ascii="Calibri" w:hAnsi="Calibri"/>
      <w:b/>
      <w:sz w:val="56"/>
    </w:rPr>
  </w:style>
  <w:style w:type="paragraph" w:customStyle="1" w:styleId="H14">
    <w:name w:val="H14"/>
    <w:basedOn w:val="Heading1"/>
    <w:rPr>
      <w:rFonts w:ascii="Calibri" w:hAnsi="Calibri"/>
      <w:sz w:val="36"/>
    </w:rPr>
  </w:style>
  <w:style w:type="paragraph" w:customStyle="1" w:styleId="H24">
    <w:name w:val="H24"/>
    <w:basedOn w:val="Heading2"/>
    <w:rPr>
      <w:rFonts w:ascii="Calibri" w:hAnsi="Calibri"/>
      <w:sz w:val="28"/>
    </w:rPr>
  </w:style>
  <w:style w:type="paragraph" w:customStyle="1" w:styleId="Body4">
    <w:name w:val="Body4"/>
    <w:basedOn w:val="Normal"/>
    <w:rPr>
      <w:rFonts w:ascii="Calibri" w:hAnsi="Calibri"/>
    </w:rPr>
  </w:style>
  <w:style w:type="paragraph" w:customStyle="1" w:styleId="Bullet4">
    <w:name w:val="Bullet4"/>
    <w:basedOn w:val="ListBullet"/>
    <w:rPr>
      <w:rFonts w:ascii="Calibri" w:hAnsi="Calibri"/>
    </w:rPr>
  </w:style>
  <w:style w:type="character" w:customStyle="1" w:styleId="HeaderChar3">
    <w:name w:val="Header Char3"/>
    <w:basedOn w:val="DefaultParagraphFont"/>
    <w:uiPriority w:val="99"/>
    <w:rsid w:val="00E618BF"/>
  </w:style>
  <w:style w:type="character" w:customStyle="1" w:styleId="FooterChar3">
    <w:name w:val="Footer Char3"/>
    <w:basedOn w:val="DefaultParagraphFont"/>
    <w:uiPriority w:val="99"/>
    <w:rsid w:val="00E618BF"/>
  </w:style>
  <w:style w:type="character" w:customStyle="1" w:styleId="Heading1Char3">
    <w:name w:val="Heading 1 Char3"/>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3">
    <w:name w:val="Heading 2 Char3"/>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3">
    <w:name w:val="Heading 3 Char3"/>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3">
    <w:name w:val="Title Char3"/>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3">
    <w:name w:val="Body Text Char3"/>
    <w:basedOn w:val="DefaultParagraphFont"/>
    <w:uiPriority w:val="99"/>
    <w:rsid w:val="00AA1D8D"/>
  </w:style>
  <w:style w:type="character" w:customStyle="1" w:styleId="BodyText2Char3">
    <w:name w:val="Body Text 2 Char3"/>
    <w:basedOn w:val="DefaultParagraphFont"/>
    <w:uiPriority w:val="99"/>
    <w:rsid w:val="00AA1D8D"/>
  </w:style>
  <w:style w:type="character" w:customStyle="1" w:styleId="BodyText3Char3">
    <w:name w:val="Body Text 3 Char3"/>
    <w:basedOn w:val="DefaultParagraphFont"/>
    <w:uiPriority w:val="99"/>
    <w:rsid w:val="00AA1D8D"/>
    <w:rPr>
      <w:sz w:val="16"/>
      <w:szCs w:val="16"/>
    </w:rPr>
  </w:style>
  <w:style w:type="character" w:customStyle="1" w:styleId="MacroTextChar3">
    <w:name w:val="Macro Text Char3"/>
    <w:basedOn w:val="DefaultParagraphFont"/>
    <w:uiPriority w:val="99"/>
    <w:rsid w:val="0029639D"/>
    <w:rPr>
      <w:rFonts w:ascii="Courier" w:hAnsi="Courier"/>
      <w:sz w:val="20"/>
      <w:szCs w:val="20"/>
    </w:rPr>
  </w:style>
  <w:style w:type="character" w:customStyle="1" w:styleId="QuoteChar3">
    <w:name w:val="Quote Char3"/>
    <w:basedOn w:val="DefaultParagraphFont"/>
    <w:uiPriority w:val="29"/>
    <w:rsid w:val="00FC693F"/>
    <w:rPr>
      <w:i/>
      <w:iCs/>
      <w:color w:val="000000" w:themeColor="text1"/>
    </w:rPr>
  </w:style>
  <w:style w:type="character" w:customStyle="1" w:styleId="Heading4Char3">
    <w:name w:val="Heading 4 Char3"/>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3">
    <w:name w:val="Heading 5 Char3"/>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3">
    <w:name w:val="Heading 6 Char3"/>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3">
    <w:name w:val="Heading 7 Char3"/>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3">
    <w:name w:val="Heading 8 Char3"/>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3">
    <w:name w:val="Heading 9 Char3"/>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3">
    <w:name w:val="Intense Quote Char3"/>
    <w:basedOn w:val="DefaultParagraphFont"/>
    <w:uiPriority w:val="30"/>
    <w:rsid w:val="00FC693F"/>
    <w:rPr>
      <w:b/>
      <w:bCs/>
      <w:i/>
      <w:iCs/>
      <w:color w:val="4F81BD" w:themeColor="accent1"/>
    </w:rPr>
  </w:style>
  <w:style w:type="paragraph" w:customStyle="1" w:styleId="TitleLarge3">
    <w:name w:val="TitleLarge3"/>
    <w:basedOn w:val="Title"/>
    <w:rPr>
      <w:rFonts w:ascii="Calibri" w:hAnsi="Calibri"/>
      <w:b/>
      <w:sz w:val="56"/>
    </w:rPr>
  </w:style>
  <w:style w:type="paragraph" w:customStyle="1" w:styleId="H13">
    <w:name w:val="H13"/>
    <w:basedOn w:val="Heading1"/>
    <w:rPr>
      <w:rFonts w:ascii="Calibri" w:hAnsi="Calibri"/>
      <w:sz w:val="36"/>
    </w:rPr>
  </w:style>
  <w:style w:type="paragraph" w:customStyle="1" w:styleId="H23">
    <w:name w:val="H23"/>
    <w:basedOn w:val="Heading2"/>
    <w:rPr>
      <w:rFonts w:ascii="Calibri" w:hAnsi="Calibri"/>
      <w:sz w:val="28"/>
    </w:rPr>
  </w:style>
  <w:style w:type="paragraph" w:customStyle="1" w:styleId="Body3">
    <w:name w:val="Body3"/>
    <w:basedOn w:val="Normal"/>
    <w:rPr>
      <w:rFonts w:ascii="Calibri" w:hAnsi="Calibri"/>
    </w:rPr>
  </w:style>
  <w:style w:type="paragraph" w:customStyle="1" w:styleId="Bullet3">
    <w:name w:val="Bullet3"/>
    <w:basedOn w:val="ListBullet"/>
    <w:rPr>
      <w:rFonts w:ascii="Calibri" w:hAnsi="Calibri"/>
    </w:rPr>
  </w:style>
  <w:style w:type="character" w:customStyle="1" w:styleId="HeaderChar2">
    <w:name w:val="Header Char2"/>
    <w:basedOn w:val="DefaultParagraphFont"/>
    <w:uiPriority w:val="99"/>
    <w:rsid w:val="00E618BF"/>
  </w:style>
  <w:style w:type="character" w:customStyle="1" w:styleId="FooterChar2">
    <w:name w:val="Footer Char2"/>
    <w:basedOn w:val="DefaultParagraphFont"/>
    <w:uiPriority w:val="99"/>
    <w:rsid w:val="00E618BF"/>
  </w:style>
  <w:style w:type="character" w:customStyle="1" w:styleId="Heading1Char2">
    <w:name w:val="Heading 1 Char2"/>
    <w:basedOn w:val="DefaultParagraphFont"/>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2">
    <w:name w:val="Heading 2 Char2"/>
    <w:basedOn w:val="DefaultParagraphFont"/>
    <w:uiPriority w:val="9"/>
    <w:rsid w:val="00FC693F"/>
    <w:rPr>
      <w:rFonts w:asciiTheme="majorHAnsi" w:eastAsiaTheme="majorEastAsia" w:hAnsiTheme="majorHAnsi" w:cstheme="majorBidi"/>
      <w:b/>
      <w:bCs/>
      <w:color w:val="4F81BD" w:themeColor="accent1"/>
      <w:sz w:val="26"/>
      <w:szCs w:val="26"/>
    </w:rPr>
  </w:style>
  <w:style w:type="character" w:customStyle="1" w:styleId="Heading3Char2">
    <w:name w:val="Heading 3 Char2"/>
    <w:basedOn w:val="DefaultParagraphFont"/>
    <w:uiPriority w:val="9"/>
    <w:rsid w:val="00FC693F"/>
    <w:rPr>
      <w:rFonts w:asciiTheme="majorHAnsi" w:eastAsiaTheme="majorEastAsia" w:hAnsiTheme="majorHAnsi" w:cstheme="majorBidi"/>
      <w:b/>
      <w:bCs/>
      <w:color w:val="4F81BD" w:themeColor="accent1"/>
    </w:rPr>
  </w:style>
  <w:style w:type="character" w:customStyle="1" w:styleId="TitleChar2">
    <w:name w:val="Title Char2"/>
    <w:basedOn w:val="DefaultParagraphFont"/>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2">
    <w:name w:val="Subtitle Char2"/>
    <w:basedOn w:val="DefaultParagraphFont"/>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2">
    <w:name w:val="Body Text Char2"/>
    <w:basedOn w:val="DefaultParagraphFont"/>
    <w:uiPriority w:val="99"/>
    <w:rsid w:val="00AA1D8D"/>
  </w:style>
  <w:style w:type="character" w:customStyle="1" w:styleId="BodyText2Char2">
    <w:name w:val="Body Text 2 Char2"/>
    <w:basedOn w:val="DefaultParagraphFont"/>
    <w:uiPriority w:val="99"/>
    <w:rsid w:val="00AA1D8D"/>
  </w:style>
  <w:style w:type="character" w:customStyle="1" w:styleId="BodyText3Char2">
    <w:name w:val="Body Text 3 Char2"/>
    <w:basedOn w:val="DefaultParagraphFont"/>
    <w:uiPriority w:val="99"/>
    <w:rsid w:val="00AA1D8D"/>
    <w:rPr>
      <w:sz w:val="16"/>
      <w:szCs w:val="16"/>
    </w:rPr>
  </w:style>
  <w:style w:type="character" w:customStyle="1" w:styleId="MacroTextChar2">
    <w:name w:val="Macro Text Char2"/>
    <w:basedOn w:val="DefaultParagraphFont"/>
    <w:uiPriority w:val="99"/>
    <w:rsid w:val="0029639D"/>
    <w:rPr>
      <w:rFonts w:ascii="Courier" w:hAnsi="Courier"/>
      <w:sz w:val="20"/>
      <w:szCs w:val="20"/>
    </w:rPr>
  </w:style>
  <w:style w:type="character" w:customStyle="1" w:styleId="QuoteChar2">
    <w:name w:val="Quote Char2"/>
    <w:basedOn w:val="DefaultParagraphFont"/>
    <w:uiPriority w:val="29"/>
    <w:rsid w:val="00FC693F"/>
    <w:rPr>
      <w:i/>
      <w:iCs/>
      <w:color w:val="000000" w:themeColor="text1"/>
    </w:rPr>
  </w:style>
  <w:style w:type="character" w:customStyle="1" w:styleId="Heading4Char2">
    <w:name w:val="Heading 4 Char2"/>
    <w:basedOn w:val="DefaultParagraphFont"/>
    <w:uiPriority w:val="9"/>
    <w:semiHidden/>
    <w:rsid w:val="00FC693F"/>
    <w:rPr>
      <w:rFonts w:asciiTheme="majorHAnsi" w:eastAsiaTheme="majorEastAsia" w:hAnsiTheme="majorHAnsi" w:cstheme="majorBidi"/>
      <w:b/>
      <w:bCs/>
      <w:i/>
      <w:iCs/>
      <w:color w:val="4F81BD" w:themeColor="accent1"/>
    </w:rPr>
  </w:style>
  <w:style w:type="character" w:customStyle="1" w:styleId="Heading5Char2">
    <w:name w:val="Heading 5 Char2"/>
    <w:basedOn w:val="DefaultParagraphFont"/>
    <w:uiPriority w:val="9"/>
    <w:semiHidden/>
    <w:rsid w:val="00FC693F"/>
    <w:rPr>
      <w:rFonts w:asciiTheme="majorHAnsi" w:eastAsiaTheme="majorEastAsia" w:hAnsiTheme="majorHAnsi" w:cstheme="majorBidi"/>
      <w:color w:val="243F60" w:themeColor="accent1" w:themeShade="7F"/>
    </w:rPr>
  </w:style>
  <w:style w:type="character" w:customStyle="1" w:styleId="Heading6Char2">
    <w:name w:val="Heading 6 Char2"/>
    <w:basedOn w:val="DefaultParagraphFont"/>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2">
    <w:name w:val="Heading 7 Char2"/>
    <w:basedOn w:val="DefaultParagraphFont"/>
    <w:uiPriority w:val="9"/>
    <w:semiHidden/>
    <w:rsid w:val="00FC693F"/>
    <w:rPr>
      <w:rFonts w:asciiTheme="majorHAnsi" w:eastAsiaTheme="majorEastAsia" w:hAnsiTheme="majorHAnsi" w:cstheme="majorBidi"/>
      <w:i/>
      <w:iCs/>
      <w:color w:val="404040" w:themeColor="text1" w:themeTint="BF"/>
    </w:rPr>
  </w:style>
  <w:style w:type="character" w:customStyle="1" w:styleId="Heading8Char2">
    <w:name w:val="Heading 8 Char2"/>
    <w:basedOn w:val="DefaultParagraphFont"/>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2">
    <w:name w:val="Heading 9 Char2"/>
    <w:basedOn w:val="DefaultParagraphFont"/>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2">
    <w:name w:val="Intense Quote Char2"/>
    <w:basedOn w:val="DefaultParagraphFont"/>
    <w:uiPriority w:val="30"/>
    <w:rsid w:val="00FC693F"/>
    <w:rPr>
      <w:b/>
      <w:bCs/>
      <w:i/>
      <w:iCs/>
      <w:color w:val="4F81BD" w:themeColor="accent1"/>
    </w:rPr>
  </w:style>
  <w:style w:type="paragraph" w:customStyle="1" w:styleId="TitleLarge2">
    <w:name w:val="TitleLarge2"/>
    <w:basedOn w:val="Title"/>
    <w:rPr>
      <w:rFonts w:ascii="Calibri" w:hAnsi="Calibri"/>
      <w:b/>
      <w:sz w:val="56"/>
    </w:rPr>
  </w:style>
  <w:style w:type="paragraph" w:customStyle="1" w:styleId="H12">
    <w:name w:val="H12"/>
    <w:basedOn w:val="Heading1"/>
    <w:rPr>
      <w:rFonts w:ascii="Calibri" w:hAnsi="Calibri"/>
      <w:sz w:val="36"/>
    </w:rPr>
  </w:style>
  <w:style w:type="paragraph" w:customStyle="1" w:styleId="H22">
    <w:name w:val="H22"/>
    <w:basedOn w:val="Heading2"/>
    <w:rPr>
      <w:rFonts w:ascii="Calibri" w:hAnsi="Calibri"/>
      <w:sz w:val="28"/>
    </w:rPr>
  </w:style>
  <w:style w:type="paragraph" w:customStyle="1" w:styleId="Body2">
    <w:name w:val="Body2"/>
    <w:basedOn w:val="Normal"/>
    <w:rPr>
      <w:rFonts w:ascii="Calibri" w:hAnsi="Calibri"/>
    </w:rPr>
  </w:style>
  <w:style w:type="paragraph" w:customStyle="1" w:styleId="Bullet2">
    <w:name w:val="Bullet2"/>
    <w:basedOn w:val="ListBullet"/>
    <w:rPr>
      <w:rFonts w:ascii="Calibri" w:hAnsi="Calibri"/>
    </w:rPr>
  </w:style>
  <w:style w:type="character" w:customStyle="1" w:styleId="HeaderChar1">
    <w:name w:val="Header Char1"/>
    <w:basedOn w:val="DefaultParagraphFont"/>
    <w:link w:val="Header"/>
    <w:uiPriority w:val="99"/>
    <w:rsid w:val="00E618BF"/>
  </w:style>
  <w:style w:type="character" w:customStyle="1" w:styleId="FooterChar1">
    <w:name w:val="Footer Char1"/>
    <w:basedOn w:val="DefaultParagraphFont"/>
    <w:link w:val="Footer"/>
    <w:uiPriority w:val="99"/>
    <w:rsid w:val="00E618BF"/>
  </w:style>
  <w:style w:type="character" w:customStyle="1" w:styleId="Heading1Char1">
    <w:name w:val="Heading 1 Char1"/>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1">
    <w:name w:val="Title Char1"/>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1">
    <w:name w:val="Subtitle Char1"/>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character" w:customStyle="1" w:styleId="BodyTextChar1">
    <w:name w:val="Body Text Char1"/>
    <w:basedOn w:val="DefaultParagraphFont"/>
    <w:link w:val="BodyText"/>
    <w:uiPriority w:val="99"/>
    <w:rsid w:val="00AA1D8D"/>
  </w:style>
  <w:style w:type="character" w:customStyle="1" w:styleId="BodyText2Char1">
    <w:name w:val="Body Text 2 Char1"/>
    <w:basedOn w:val="DefaultParagraphFont"/>
    <w:link w:val="BodyText2"/>
    <w:uiPriority w:val="99"/>
    <w:rsid w:val="00AA1D8D"/>
  </w:style>
  <w:style w:type="character" w:customStyle="1" w:styleId="BodyText3Char1">
    <w:name w:val="Body Text 3 Char1"/>
    <w:basedOn w:val="DefaultParagraphFont"/>
    <w:link w:val="BodyText3"/>
    <w:uiPriority w:val="99"/>
    <w:rsid w:val="00AA1D8D"/>
    <w:rPr>
      <w:sz w:val="16"/>
      <w:szCs w:val="16"/>
    </w:rPr>
  </w:style>
  <w:style w:type="character" w:customStyle="1" w:styleId="MacroTextChar1">
    <w:name w:val="Macro Text Char1"/>
    <w:basedOn w:val="DefaultParagraphFont"/>
    <w:link w:val="MacroText"/>
    <w:uiPriority w:val="99"/>
    <w:rsid w:val="0029639D"/>
    <w:rPr>
      <w:rFonts w:ascii="Courier" w:hAnsi="Courier"/>
      <w:sz w:val="20"/>
      <w:szCs w:val="20"/>
    </w:rPr>
  </w:style>
  <w:style w:type="character" w:customStyle="1" w:styleId="QuoteChar1">
    <w:name w:val="Quote Char1"/>
    <w:basedOn w:val="DefaultParagraphFont"/>
    <w:link w:val="Quote"/>
    <w:uiPriority w:val="29"/>
    <w:rsid w:val="00FC693F"/>
    <w:rPr>
      <w:i/>
      <w:iCs/>
      <w:color w:val="000000" w:themeColor="text1"/>
    </w:rPr>
  </w:style>
  <w:style w:type="character" w:customStyle="1" w:styleId="Heading4Char1">
    <w:name w:val="Heading 4 Char1"/>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1">
    <w:name w:val="Heading 5 Char1"/>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1">
    <w:name w:val="Heading 6 Char1"/>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1">
    <w:name w:val="Heading 7 Char1"/>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1">
    <w:name w:val="Heading 8 Char1"/>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1">
    <w:name w:val="Heading 9 Char1"/>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character" w:customStyle="1" w:styleId="IntenseQuoteChar1">
    <w:name w:val="Intense Quote Char1"/>
    <w:basedOn w:val="DefaultParagraphFont"/>
    <w:link w:val="IntenseQuote"/>
    <w:uiPriority w:val="30"/>
    <w:rsid w:val="00FC693F"/>
    <w:rPr>
      <w:b/>
      <w:bCs/>
      <w:i/>
      <w:iCs/>
      <w:color w:val="4F81BD" w:themeColor="accent1"/>
    </w:rPr>
  </w:style>
  <w:style w:type="paragraph" w:customStyle="1" w:styleId="TitleLarge1">
    <w:name w:val="TitleLarge1"/>
    <w:basedOn w:val="Title"/>
    <w:rPr>
      <w:rFonts w:ascii="Calibri" w:hAnsi="Calibri"/>
      <w:b/>
      <w:sz w:val="56"/>
    </w:rPr>
  </w:style>
  <w:style w:type="paragraph" w:customStyle="1" w:styleId="H11">
    <w:name w:val="H11"/>
    <w:basedOn w:val="Heading1"/>
    <w:rPr>
      <w:rFonts w:ascii="Calibri" w:hAnsi="Calibri"/>
      <w:sz w:val="36"/>
    </w:rPr>
  </w:style>
  <w:style w:type="paragraph" w:customStyle="1" w:styleId="H21">
    <w:name w:val="H21"/>
    <w:basedOn w:val="Heading2"/>
    <w:rPr>
      <w:rFonts w:ascii="Calibri" w:hAnsi="Calibri"/>
      <w:sz w:val="28"/>
    </w:rPr>
  </w:style>
  <w:style w:type="paragraph" w:customStyle="1" w:styleId="Body1">
    <w:name w:val="Body1"/>
    <w:basedOn w:val="Normal"/>
    <w:rPr>
      <w:rFonts w:ascii="Calibri" w:hAnsi="Calibri"/>
    </w:rPr>
  </w:style>
  <w:style w:type="paragraph" w:customStyle="1" w:styleId="Bullet1">
    <w:name w:val="Bullet1"/>
    <w:basedOn w:val="ListBullet"/>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CS</cp:lastModifiedBy>
  <cp:revision>1</cp:revision>
  <dcterms:created xsi:type="dcterms:W3CDTF">2013-12-23T23:15:00Z</dcterms:created>
  <dcterms:modified xsi:type="dcterms:W3CDTF">2025-08-22T12:06:00Z</dcterms:modified>
  <cp:category/>
</cp:coreProperties>
</file>