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Lighting Effects on Students in Schools</w:t>
      </w:r>
    </w:p>
    <w:p>
      <w:pPr>
        <w:pStyle w:val="Heading1"/>
      </w:pPr>
      <w:r>
        <w:t>Problem</w:t>
      </w:r>
    </w:p>
    <w:p>
      <w:r>
        <w:t>Poor lighting conditions in schools, such as low illuminance, high flicker, or improper color temperature, negatively affect students' concentration, biological rhythms, and psychological well-being. These conditions may cause headaches, eye strain, sleep disruption, and lower academic performance.</w:t>
      </w:r>
    </w:p>
    <w:p>
      <w:pPr>
        <w:pStyle w:val="Heading1"/>
      </w:pPr>
      <w:r>
        <w:t>Idea</w:t>
      </w:r>
    </w:p>
    <w:p>
      <w:r>
        <w:t>This study explores the impact of key lighting parameters (CCT, CRI, Flicker, UGR, Melanopic EDI, Vertical Illuminance, Exposure Duration, and Lux) on children’s health, psychology, and concentration. By comparing optimal vs poor lighting conditions, we provide practical solutions for better learning environments.</w:t>
      </w:r>
    </w:p>
    <w:p>
      <w:pPr>
        <w:pStyle w:val="Heading1"/>
      </w:pPr>
      <w:r>
        <w:t>Study</w:t>
      </w:r>
    </w:p>
    <w:p>
      <w:r>
        <w:t>Each parameter is compared between acceptable, poor, and dangerous ranges, with references to biological and psychological effects.</w:t>
      </w:r>
    </w:p>
    <w:p>
      <w:pPr>
        <w:pStyle w:val="Heading2"/>
      </w:pPr>
      <w:r>
        <w:t>CCT (Color Temperature, K)</w:t>
      </w:r>
    </w:p>
    <w:p>
      <w:r>
        <w:t>Affects circadian rhythm, alertness, and mood.</w:t>
      </w:r>
    </w:p>
    <w:p>
      <w:r>
        <w:drawing>
          <wp:inline xmlns:a="http://schemas.openxmlformats.org/drawingml/2006/main" xmlns:pic="http://schemas.openxmlformats.org/drawingml/2006/picture">
            <wp:extent cx="4572000" cy="2690413"/>
            <wp:docPr id="1" name="Picture 1"/>
            <wp:cNvGraphicFramePr>
              <a:graphicFrameLocks noChangeAspect="1"/>
            </wp:cNvGraphicFramePr>
            <a:graphic>
              <a:graphicData uri="http://schemas.openxmlformats.org/drawingml/2006/picture">
                <pic:pic>
                  <pic:nvPicPr>
                    <pic:cNvPr id="0" name="CCT_Color_Temperature,_K.png"/>
                    <pic:cNvPicPr/>
                  </pic:nvPicPr>
                  <pic:blipFill>
                    <a:blip r:embed="rId9"/>
                    <a:stretch>
                      <a:fillRect/>
                    </a:stretch>
                  </pic:blipFill>
                  <pic:spPr>
                    <a:xfrm>
                      <a:off x="0" y="0"/>
                      <a:ext cx="4572000" cy="2690413"/>
                    </a:xfrm>
                    <a:prstGeom prst="rect"/>
                  </pic:spPr>
                </pic:pic>
              </a:graphicData>
            </a:graphic>
          </wp:inline>
        </w:drawing>
      </w:r>
    </w:p>
    <w:p>
      <w:pPr>
        <w:pStyle w:val="Heading2"/>
      </w:pPr>
      <w:r>
        <w:t>CRI (Color Rendering Index)</w:t>
      </w:r>
    </w:p>
    <w:p>
      <w:r>
        <w:t>Impacts color accuracy, learning, and comfort.</w:t>
      </w:r>
    </w:p>
    <w:p>
      <w:r>
        <w:drawing>
          <wp:inline xmlns:a="http://schemas.openxmlformats.org/drawingml/2006/main" xmlns:pic="http://schemas.openxmlformats.org/drawingml/2006/picture">
            <wp:extent cx="4572000" cy="2695433"/>
            <wp:docPr id="2" name="Picture 2"/>
            <wp:cNvGraphicFramePr>
              <a:graphicFrameLocks noChangeAspect="1"/>
            </wp:cNvGraphicFramePr>
            <a:graphic>
              <a:graphicData uri="http://schemas.openxmlformats.org/drawingml/2006/picture">
                <pic:pic>
                  <pic:nvPicPr>
                    <pic:cNvPr id="0" name="CRI_Color_Rendering_Index.png"/>
                    <pic:cNvPicPr/>
                  </pic:nvPicPr>
                  <pic:blipFill>
                    <a:blip r:embed="rId10"/>
                    <a:stretch>
                      <a:fillRect/>
                    </a:stretch>
                  </pic:blipFill>
                  <pic:spPr>
                    <a:xfrm>
                      <a:off x="0" y="0"/>
                      <a:ext cx="4572000" cy="2695433"/>
                    </a:xfrm>
                    <a:prstGeom prst="rect"/>
                  </pic:spPr>
                </pic:pic>
              </a:graphicData>
            </a:graphic>
          </wp:inline>
        </w:drawing>
      </w:r>
    </w:p>
    <w:p>
      <w:pPr>
        <w:pStyle w:val="Heading2"/>
      </w:pPr>
      <w:r>
        <w:t>Flicker (%)</w:t>
      </w:r>
    </w:p>
    <w:p>
      <w:r>
        <w:t>High flicker causes headaches, eye strain, and reduced concentration.</w:t>
      </w:r>
    </w:p>
    <w:p>
      <w:r>
        <w:drawing>
          <wp:inline xmlns:a="http://schemas.openxmlformats.org/drawingml/2006/main" xmlns:pic="http://schemas.openxmlformats.org/drawingml/2006/picture">
            <wp:extent cx="4572000" cy="2695433"/>
            <wp:docPr id="3" name="Picture 3"/>
            <wp:cNvGraphicFramePr>
              <a:graphicFrameLocks noChangeAspect="1"/>
            </wp:cNvGraphicFramePr>
            <a:graphic>
              <a:graphicData uri="http://schemas.openxmlformats.org/drawingml/2006/picture">
                <pic:pic>
                  <pic:nvPicPr>
                    <pic:cNvPr id="0" name="Flicker_%.png"/>
                    <pic:cNvPicPr/>
                  </pic:nvPicPr>
                  <pic:blipFill>
                    <a:blip r:embed="rId11"/>
                    <a:stretch>
                      <a:fillRect/>
                    </a:stretch>
                  </pic:blipFill>
                  <pic:spPr>
                    <a:xfrm>
                      <a:off x="0" y="0"/>
                      <a:ext cx="4572000" cy="2695433"/>
                    </a:xfrm>
                    <a:prstGeom prst="rect"/>
                  </pic:spPr>
                </pic:pic>
              </a:graphicData>
            </a:graphic>
          </wp:inline>
        </w:drawing>
      </w:r>
    </w:p>
    <w:p>
      <w:pPr>
        <w:pStyle w:val="Heading2"/>
      </w:pPr>
      <w:r>
        <w:t>Glare (UGR)</w:t>
      </w:r>
    </w:p>
    <w:p>
      <w:r>
        <w:t>High glare reduces visibility, comfort, and concentration.</w:t>
      </w:r>
    </w:p>
    <w:p>
      <w:r>
        <w:drawing>
          <wp:inline xmlns:a="http://schemas.openxmlformats.org/drawingml/2006/main" xmlns:pic="http://schemas.openxmlformats.org/drawingml/2006/picture">
            <wp:extent cx="4572000" cy="2695433"/>
            <wp:docPr id="4" name="Picture 4"/>
            <wp:cNvGraphicFramePr>
              <a:graphicFrameLocks noChangeAspect="1"/>
            </wp:cNvGraphicFramePr>
            <a:graphic>
              <a:graphicData uri="http://schemas.openxmlformats.org/drawingml/2006/picture">
                <pic:pic>
                  <pic:nvPicPr>
                    <pic:cNvPr id="0" name="Glare_UGR.png"/>
                    <pic:cNvPicPr/>
                  </pic:nvPicPr>
                  <pic:blipFill>
                    <a:blip r:embed="rId12"/>
                    <a:stretch>
                      <a:fillRect/>
                    </a:stretch>
                  </pic:blipFill>
                  <pic:spPr>
                    <a:xfrm>
                      <a:off x="0" y="0"/>
                      <a:ext cx="4572000" cy="2695433"/>
                    </a:xfrm>
                    <a:prstGeom prst="rect"/>
                  </pic:spPr>
                </pic:pic>
              </a:graphicData>
            </a:graphic>
          </wp:inline>
        </w:drawing>
      </w:r>
    </w:p>
    <w:p>
      <w:pPr>
        <w:pStyle w:val="Heading2"/>
      </w:pPr>
      <w:r>
        <w:t>Melanopic EDI (lux)</w:t>
      </w:r>
    </w:p>
    <w:p>
      <w:r>
        <w:t>Regulates circadian entrainment and biological alertness.</w:t>
      </w:r>
    </w:p>
    <w:p>
      <w:r>
        <w:drawing>
          <wp:inline xmlns:a="http://schemas.openxmlformats.org/drawingml/2006/main" xmlns:pic="http://schemas.openxmlformats.org/drawingml/2006/picture">
            <wp:extent cx="4572000" cy="2695433"/>
            <wp:docPr id="5" name="Picture 5"/>
            <wp:cNvGraphicFramePr>
              <a:graphicFrameLocks noChangeAspect="1"/>
            </wp:cNvGraphicFramePr>
            <a:graphic>
              <a:graphicData uri="http://schemas.openxmlformats.org/drawingml/2006/picture">
                <pic:pic>
                  <pic:nvPicPr>
                    <pic:cNvPr id="0" name="Melanopic_EDI_lux.png"/>
                    <pic:cNvPicPr/>
                  </pic:nvPicPr>
                  <pic:blipFill>
                    <a:blip r:embed="rId13"/>
                    <a:stretch>
                      <a:fillRect/>
                    </a:stretch>
                  </pic:blipFill>
                  <pic:spPr>
                    <a:xfrm>
                      <a:off x="0" y="0"/>
                      <a:ext cx="4572000" cy="2695433"/>
                    </a:xfrm>
                    <a:prstGeom prst="rect"/>
                  </pic:spPr>
                </pic:pic>
              </a:graphicData>
            </a:graphic>
          </wp:inline>
        </w:drawing>
      </w:r>
    </w:p>
    <w:p>
      <w:pPr>
        <w:pStyle w:val="Heading2"/>
      </w:pPr>
      <w:r>
        <w:t>Vertical Illuminance (lux)</w:t>
      </w:r>
    </w:p>
    <w:p>
      <w:r>
        <w:t>Ensures visibility on vertical planes, reducing fatigue.</w:t>
      </w:r>
    </w:p>
    <w:p>
      <w:r>
        <w:drawing>
          <wp:inline xmlns:a="http://schemas.openxmlformats.org/drawingml/2006/main" xmlns:pic="http://schemas.openxmlformats.org/drawingml/2006/picture">
            <wp:extent cx="4572000" cy="2695433"/>
            <wp:docPr id="6" name="Picture 6"/>
            <wp:cNvGraphicFramePr>
              <a:graphicFrameLocks noChangeAspect="1"/>
            </wp:cNvGraphicFramePr>
            <a:graphic>
              <a:graphicData uri="http://schemas.openxmlformats.org/drawingml/2006/picture">
                <pic:pic>
                  <pic:nvPicPr>
                    <pic:cNvPr id="0" name="Vertical_Illuminance_lux.png"/>
                    <pic:cNvPicPr/>
                  </pic:nvPicPr>
                  <pic:blipFill>
                    <a:blip r:embed="rId14"/>
                    <a:stretch>
                      <a:fillRect/>
                    </a:stretch>
                  </pic:blipFill>
                  <pic:spPr>
                    <a:xfrm>
                      <a:off x="0" y="0"/>
                      <a:ext cx="4572000" cy="2695433"/>
                    </a:xfrm>
                    <a:prstGeom prst="rect"/>
                  </pic:spPr>
                </pic:pic>
              </a:graphicData>
            </a:graphic>
          </wp:inline>
        </w:drawing>
      </w:r>
    </w:p>
    <w:p>
      <w:pPr>
        <w:pStyle w:val="Heading2"/>
      </w:pPr>
      <w:r>
        <w:t>Exposure Duration (hours)</w:t>
      </w:r>
    </w:p>
    <w:p>
      <w:r>
        <w:t>Too short reduces benefits, too long increases stress.</w:t>
      </w:r>
    </w:p>
    <w:p>
      <w:r>
        <w:drawing>
          <wp:inline xmlns:a="http://schemas.openxmlformats.org/drawingml/2006/main" xmlns:pic="http://schemas.openxmlformats.org/drawingml/2006/picture">
            <wp:extent cx="4572000" cy="2695433"/>
            <wp:docPr id="7" name="Picture 7"/>
            <wp:cNvGraphicFramePr>
              <a:graphicFrameLocks noChangeAspect="1"/>
            </wp:cNvGraphicFramePr>
            <a:graphic>
              <a:graphicData uri="http://schemas.openxmlformats.org/drawingml/2006/picture">
                <pic:pic>
                  <pic:nvPicPr>
                    <pic:cNvPr id="0" name="Exposure_Duration_hours.png"/>
                    <pic:cNvPicPr/>
                  </pic:nvPicPr>
                  <pic:blipFill>
                    <a:blip r:embed="rId15"/>
                    <a:stretch>
                      <a:fillRect/>
                    </a:stretch>
                  </pic:blipFill>
                  <pic:spPr>
                    <a:xfrm>
                      <a:off x="0" y="0"/>
                      <a:ext cx="4572000" cy="2695433"/>
                    </a:xfrm>
                    <a:prstGeom prst="rect"/>
                  </pic:spPr>
                </pic:pic>
              </a:graphicData>
            </a:graphic>
          </wp:inline>
        </w:drawing>
      </w:r>
    </w:p>
    <w:p>
      <w:pPr>
        <w:pStyle w:val="Heading2"/>
      </w:pPr>
      <w:r>
        <w:t>Lux (Horizontal Illuminance)</w:t>
      </w:r>
    </w:p>
    <w:p>
      <w:r>
        <w:t>Impacts reading ability, focus, and eye comfort.</w:t>
      </w:r>
    </w:p>
    <w:p>
      <w:r>
        <w:drawing>
          <wp:inline xmlns:a="http://schemas.openxmlformats.org/drawingml/2006/main" xmlns:pic="http://schemas.openxmlformats.org/drawingml/2006/picture">
            <wp:extent cx="4572000" cy="2695433"/>
            <wp:docPr id="8" name="Picture 8"/>
            <wp:cNvGraphicFramePr>
              <a:graphicFrameLocks noChangeAspect="1"/>
            </wp:cNvGraphicFramePr>
            <a:graphic>
              <a:graphicData uri="http://schemas.openxmlformats.org/drawingml/2006/picture">
                <pic:pic>
                  <pic:nvPicPr>
                    <pic:cNvPr id="0" name="Lux_Horizontal_Illuminance.png"/>
                    <pic:cNvPicPr/>
                  </pic:nvPicPr>
                  <pic:blipFill>
                    <a:blip r:embed="rId16"/>
                    <a:stretch>
                      <a:fillRect/>
                    </a:stretch>
                  </pic:blipFill>
                  <pic:spPr>
                    <a:xfrm>
                      <a:off x="0" y="0"/>
                      <a:ext cx="4572000" cy="2695433"/>
                    </a:xfrm>
                    <a:prstGeom prst="rect"/>
                  </pic:spPr>
                </pic:pic>
              </a:graphicData>
            </a:graphic>
          </wp:inline>
        </w:drawing>
      </w:r>
    </w:p>
    <w:p>
      <w:pPr>
        <w:pStyle w:val="Heading1"/>
      </w:pPr>
      <w:r>
        <w:t>Solution</w:t>
      </w:r>
    </w:p>
    <w:p>
      <w:r>
        <w:t>The solution is to adopt lighting systems designed with proper parameters for each age group and school environment (classroom, laboratory, playground). Schools should ensure compliance with standards (EN 12464-1, WELL, CIE) to optimize both visual comfort and biological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