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MOSt Development Record and Next Step Plan</w:t>
      </w:r>
    </w:p>
    <w:p>
      <w:r>
        <w:rPr>
          <w:b/>
        </w:rPr>
        <w:t>Completed work, release position, and proposed development sequence</w:t>
      </w:r>
    </w:p>
    <w:p>
      <w:r>
        <w:t>Current workstation test releases through V16.16   September 2026</w:t>
      </w:r>
    </w:p>
    <w:p>
      <w:pPr>
        <w:pStyle w:val="Heading1"/>
        <w:keepNext/>
      </w:pPr>
      <w:r>
        <w:t>Current release position</w:t>
      </w:r>
    </w:p>
    <w:p>
      <w:r>
        <w:t>V16.15 is the current cross-platform workstation test release, with V16.16 adding the Windows 10 or 11 Modify Labels path correction. Windows XP remains on V16.15 unless a later common version is required. The Windows Server 2008 installation and shared database remain unchanged. Claims fee lookup and Modify Labels are confirmed working in current testing.</w:t>
      </w:r>
    </w:p>
    <w:p>
      <w:pPr>
        <w:pStyle w:val="Heading1"/>
        <w:keepNext/>
      </w:pPr>
      <w:r>
        <w:t>Work completed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7"/>
              </w:rPr>
              <w:t>Area</w:t>
            </w:r>
          </w:p>
        </w:tc>
        <w:tc>
          <w:tcPr>
            <w:tcW w:type="dxa" w:w="3360"/>
            <w:shd w:fill="1F4E78"/>
          </w:tcPr>
          <w:p>
            <w:r>
              <w:rPr>
                <w:b/>
                <w:color w:val="FFFFFF"/>
                <w:sz w:val="17"/>
              </w:rPr>
              <w:t>Change</w:t>
            </w:r>
          </w:p>
        </w:tc>
        <w:tc>
          <w:tcPr>
            <w:tcW w:type="dxa" w:w="3360"/>
            <w:shd w:fill="1F4E78"/>
          </w:tcPr>
          <w:p>
            <w:r>
              <w:rPr>
                <w:b/>
                <w:color w:val="FFFFFF"/>
                <w:sz w:val="17"/>
              </w:rPr>
              <w:t>Current result</w:t>
            </w:r>
          </w:p>
        </w:tc>
      </w:tr>
      <w:tr>
        <w:tc>
          <w:tcPr>
            <w:tcW w:type="dxa" w:w="1728"/>
            <w:vAlign w:val="center"/>
          </w:tcPr>
          <w:p>
            <w:r>
              <w:rPr>
                <w:sz w:val="17"/>
              </w:rPr>
              <w:t>Scheduler</w:t>
            </w:r>
          </w:p>
        </w:tc>
        <w:tc>
          <w:tcPr>
            <w:tcW w:type="dxa" w:w="5184"/>
            <w:vAlign w:val="center"/>
          </w:tcPr>
          <w:p>
            <w:r>
              <w:rPr>
                <w:sz w:val="17"/>
              </w:rPr>
              <w:t>Repaired legacy OLE/component handling and scheduler close/edit behavior; reviewed schedule setup functions.</w:t>
            </w:r>
          </w:p>
        </w:tc>
        <w:tc>
          <w:tcPr>
            <w:tcW w:type="dxa" w:w="3024"/>
            <w:vAlign w:val="center"/>
          </w:tcPr>
          <w:p>
            <w:r>
              <w:rPr>
                <w:sz w:val="17"/>
              </w:rPr>
              <w:t>Scheduler opens, displays, edits, saves, and closes in testing.</w:t>
            </w:r>
          </w:p>
        </w:tc>
      </w:tr>
      <w:tr>
        <w:tc>
          <w:tcPr>
            <w:tcW w:type="dxa" w:w="1728"/>
            <w:vAlign w:val="center"/>
            <w:shd w:fill="EAF2F8"/>
          </w:tcPr>
          <w:p>
            <w:r>
              <w:rPr>
                <w:sz w:val="17"/>
              </w:rPr>
              <w:t>Security/expiry</w:t>
            </w:r>
          </w:p>
        </w:tc>
        <w:tc>
          <w:tcPr>
            <w:tcW w:type="dxa" w:w="5184"/>
            <w:vAlign w:val="center"/>
            <w:shd w:fill="EAF2F8"/>
          </w:tcPr>
          <w:p>
            <w:r>
              <w:rPr>
                <w:sz w:val="17"/>
              </w:rPr>
              <w:t>Removed the application expiry restriction and aligned Help/About wording.</w:t>
            </w:r>
          </w:p>
        </w:tc>
        <w:tc>
          <w:tcPr>
            <w:tcW w:type="dxa" w:w="3024"/>
            <w:vAlign w:val="center"/>
            <w:shd w:fill="EAF2F8"/>
          </w:tcPr>
          <w:p>
            <w:r>
              <w:rPr>
                <w:sz w:val="17"/>
              </w:rPr>
              <w:t>No planned expiry date in V16.14.</w:t>
            </w:r>
          </w:p>
        </w:tc>
      </w:tr>
      <w:tr>
        <w:tc>
          <w:tcPr>
            <w:tcW w:type="dxa" w:w="1728"/>
            <w:vAlign w:val="center"/>
          </w:tcPr>
          <w:p>
            <w:r>
              <w:rPr>
                <w:sz w:val="17"/>
              </w:rPr>
              <w:t>OHIP fees</w:t>
            </w:r>
          </w:p>
        </w:tc>
        <w:tc>
          <w:tcPr>
            <w:tcW w:type="dxa" w:w="5184"/>
            <w:vAlign w:val="center"/>
          </w:tcPr>
          <w:p>
            <w:r>
              <w:rPr>
                <w:sz w:val="17"/>
              </w:rPr>
              <w:t>Reworked the Ministry fee update to synchronize existing rows, add missing codes safely, avoid long tag/index failures, and show the active database values.</w:t>
            </w:r>
          </w:p>
        </w:tc>
        <w:tc>
          <w:tcPr>
            <w:tcW w:type="dxa" w:w="3024"/>
            <w:vAlign w:val="center"/>
          </w:tcPr>
          <w:p>
            <w:r>
              <w:rPr>
                <w:sz w:val="17"/>
              </w:rPr>
              <w:t>2026 master processes 7,523 records; server fee table and Fee Codes display are synchronized.</w:t>
            </w:r>
          </w:p>
        </w:tc>
      </w:tr>
      <w:tr>
        <w:tc>
          <w:tcPr>
            <w:tcW w:type="dxa" w:w="1728"/>
            <w:vAlign w:val="center"/>
            <w:shd w:fill="EAF2F8"/>
          </w:tcPr>
          <w:p>
            <w:r>
              <w:rPr>
                <w:sz w:val="17"/>
              </w:rPr>
              <w:t>Fee form</w:t>
            </w:r>
          </w:p>
        </w:tc>
        <w:tc>
          <w:tcPr>
            <w:tcW w:type="dxa" w:w="5184"/>
            <w:vAlign w:val="center"/>
            <w:shd w:fill="EAF2F8"/>
          </w:tcPr>
          <w:p>
            <w:r>
              <w:rPr>
                <w:sz w:val="17"/>
              </w:rPr>
              <w:t>Corrected stale/local table display and duplicate database-path windows.</w:t>
            </w:r>
          </w:p>
        </w:tc>
        <w:tc>
          <w:tcPr>
            <w:tcW w:type="dxa" w:w="3024"/>
            <w:vAlign w:val="center"/>
            <w:shd w:fill="EAF2F8"/>
          </w:tcPr>
          <w:p>
            <w:r>
              <w:rPr>
                <w:sz w:val="17"/>
              </w:rPr>
              <w:t>Fee Codes reads the configured shared database; test values include K002 80.00 and E185 GP 525.15.</w:t>
            </w:r>
          </w:p>
        </w:tc>
      </w:tr>
      <w:tr>
        <w:tc>
          <w:tcPr>
            <w:tcW w:type="dxa" w:w="1728"/>
            <w:vAlign w:val="center"/>
          </w:tcPr>
          <w:p>
            <w:r>
              <w:rPr>
                <w:sz w:val="17"/>
              </w:rPr>
              <w:t>EDT paths</w:t>
            </w:r>
          </w:p>
        </w:tc>
        <w:tc>
          <w:tcPr>
            <w:tcW w:type="dxa" w:w="5184"/>
            <w:vAlign w:val="center"/>
          </w:tcPr>
          <w:p>
            <w:r>
              <w:rPr>
                <w:sz w:val="17"/>
              </w:rPr>
              <w:t>Directed EDT IN, EDT OUT, and recreated submission output to the server folders.</w:t>
            </w:r>
          </w:p>
        </w:tc>
        <w:tc>
          <w:tcPr>
            <w:tcW w:type="dxa" w:w="3024"/>
            <w:vAlign w:val="center"/>
          </w:tcPr>
          <w:p>
            <w:r>
              <w:rPr>
                <w:sz w:val="17"/>
              </w:rPr>
              <w:t>Recreated submissions are available where the server sends them.</w:t>
            </w:r>
          </w:p>
        </w:tc>
      </w:tr>
      <w:tr>
        <w:tc>
          <w:tcPr>
            <w:tcW w:type="dxa" w:w="1728"/>
            <w:vAlign w:val="center"/>
            <w:shd w:fill="EAF2F8"/>
          </w:tcPr>
          <w:p>
            <w:r>
              <w:rPr>
                <w:sz w:val="17"/>
              </w:rPr>
              <w:t>Installation role</w:t>
            </w:r>
          </w:p>
        </w:tc>
        <w:tc>
          <w:tcPr>
            <w:tcW w:type="dxa" w:w="5184"/>
            <w:vAlign w:val="center"/>
            <w:shd w:fill="EAF2F8"/>
          </w:tcPr>
          <w:p>
            <w:r>
              <w:rPr>
                <w:sz w:val="17"/>
              </w:rPr>
              <w:t>Added Server/Workstation identification and workstation-only installers.</w:t>
            </w:r>
          </w:p>
        </w:tc>
        <w:tc>
          <w:tcPr>
            <w:tcW w:type="dxa" w:w="3024"/>
            <w:vAlign w:val="center"/>
            <w:shd w:fill="EAF2F8"/>
          </w:tcPr>
          <w:p>
            <w:r>
              <w:rPr>
                <w:sz w:val="17"/>
              </w:rPr>
              <w:t>Pilot workstations are marked WORKSTATION; Server 2008 is untouched.</w:t>
            </w:r>
          </w:p>
        </w:tc>
      </w:tr>
      <w:tr>
        <w:tc>
          <w:tcPr>
            <w:tcW w:type="dxa" w:w="1728"/>
            <w:vAlign w:val="center"/>
          </w:tcPr>
          <w:p>
            <w:r>
              <w:rPr>
                <w:sz w:val="17"/>
              </w:rPr>
              <w:t>Packaging</w:t>
            </w:r>
          </w:p>
        </w:tc>
        <w:tc>
          <w:tcPr>
            <w:tcW w:type="dxa" w:w="5184"/>
            <w:vAlign w:val="center"/>
          </w:tcPr>
          <w:p>
            <w:r>
              <w:rPr>
                <w:sz w:val="17"/>
              </w:rPr>
              <w:t>Prepared separate labelled upgrade packages and guides for XP and Windows 10/11.</w:t>
            </w:r>
          </w:p>
        </w:tc>
        <w:tc>
          <w:tcPr>
            <w:tcW w:type="dxa" w:w="3024"/>
            <w:vAlign w:val="center"/>
          </w:tcPr>
          <w:p>
            <w:r>
              <w:rPr>
                <w:sz w:val="17"/>
              </w:rPr>
              <w:t>V16.14 workstation pilot package with rollback and checksums.</w:t>
            </w:r>
          </w:p>
        </w:tc>
      </w:tr>
    </w:tbl>
    <w:p>
      <w:pPr>
        <w:pStyle w:val="Heading1"/>
        <w:keepNext/>
      </w:pPr>
      <w:r>
        <w:t>Immediate rollout plan</w:t>
      </w:r>
    </w:p>
    <w:p>
      <w:pPr>
        <w:pStyle w:val="ListBullet"/>
        <w:keepLines/>
      </w:pPr>
      <w:r>
        <w:t>Preserve the current Windows Server 2008 application and database exactly as they are.</w:t>
      </w:r>
    </w:p>
    <w:p>
      <w:pPr>
        <w:pStyle w:val="ListBullet"/>
        <w:keepLines/>
      </w:pPr>
      <w:r>
        <w:t>Validate one Windows XP workstation and one Windows 10 or 11 workstation against a complete copied dataset.</w:t>
      </w:r>
    </w:p>
    <w:p>
      <w:pPr>
        <w:pStyle w:val="ListBullet"/>
        <w:keepLines/>
      </w:pPr>
      <w:r>
        <w:t>Run the supplied pre-live checklist, record every failure, and repeat failed tests after correction.</w:t>
      </w:r>
    </w:p>
    <w:p>
      <w:pPr>
        <w:pStyle w:val="ListBullet"/>
        <w:keepLines/>
      </w:pPr>
      <w:r>
        <w:t>Pilot one workstation against production only after backup, clinical, billing, and technical sign-off.</w:t>
      </w:r>
    </w:p>
    <w:p>
      <w:pPr>
        <w:pStyle w:val="ListBullet"/>
        <w:keepLines/>
      </w:pPr>
      <w:r>
        <w:t>Keep the previous MOST.exe available for rapid workstation rollback; do not roll back or alter shared data without a separate recovery decision.</w:t>
      </w:r>
    </w:p>
    <w:p>
      <w:pPr>
        <w:pStyle w:val="Heading1"/>
        <w:keepNext/>
        <w:pageBreakBefore/>
      </w:pPr>
      <w:r>
        <w:t>Proposed next development sequence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8"/>
          </w:tcPr>
          <w:p>
            <w:r>
              <w:rPr>
                <w:b/>
                <w:color w:val="FFFFFF"/>
                <w:sz w:val="17"/>
              </w:rPr>
              <w:t>Priority</w:t>
            </w:r>
          </w:p>
        </w:tc>
        <w:tc>
          <w:tcPr>
            <w:tcW w:type="dxa" w:w="2520"/>
            <w:shd w:fill="1F4E78"/>
          </w:tcPr>
          <w:p>
            <w:r>
              <w:rPr>
                <w:b/>
                <w:color w:val="FFFFFF"/>
                <w:sz w:val="17"/>
              </w:rPr>
              <w:t>Workstream</w:t>
            </w:r>
          </w:p>
        </w:tc>
        <w:tc>
          <w:tcPr>
            <w:tcW w:type="dxa" w:w="2520"/>
            <w:shd w:fill="1F4E78"/>
          </w:tcPr>
          <w:p>
            <w:r>
              <w:rPr>
                <w:b/>
                <w:color w:val="FFFFFF"/>
                <w:sz w:val="17"/>
              </w:rPr>
              <w:t>Proposed outcome</w:t>
            </w:r>
          </w:p>
        </w:tc>
        <w:tc>
          <w:tcPr>
            <w:tcW w:type="dxa" w:w="2520"/>
            <w:shd w:fill="1F4E78"/>
          </w:tcPr>
          <w:p>
            <w:r>
              <w:rPr>
                <w:b/>
                <w:color w:val="FFFFFF"/>
                <w:sz w:val="17"/>
              </w:rPr>
              <w:t>Acceptance evidence</w:t>
            </w:r>
          </w:p>
        </w:tc>
      </w:tr>
      <w:tr>
        <w:trPr>
          <w:cantSplit/>
        </w:trPr>
        <w:tc>
          <w:tcPr>
            <w:tcW w:type="dxa" w:w="792"/>
            <w:vAlign w:val="center"/>
          </w:tcPr>
          <w:p>
            <w:r>
              <w:rPr>
                <w:sz w:val="17"/>
              </w:rPr>
              <w:t>Completed</w:t>
            </w:r>
          </w:p>
        </w:tc>
        <w:tc>
          <w:tcPr>
            <w:tcW w:type="dxa" w:w="1800"/>
            <w:vAlign w:val="center"/>
          </w:tcPr>
          <w:p>
            <w:r>
              <w:rPr>
                <w:sz w:val="17"/>
              </w:rPr>
              <w:t>Modify Labels</w:t>
            </w:r>
          </w:p>
        </w:tc>
        <w:tc>
          <w:tcPr>
            <w:tcW w:type="dxa" w:w="5544"/>
            <w:vAlign w:val="center"/>
          </w:tcPr>
          <w:p>
            <w:r>
              <w:rPr>
                <w:sz w:val="17"/>
              </w:rPr>
              <w:t>Repair completed and verified in current testing.</w:t>
            </w:r>
          </w:p>
        </w:tc>
        <w:tc>
          <w:tcPr>
            <w:tcW w:type="dxa" w:w="3024"/>
            <w:vAlign w:val="center"/>
          </w:tcPr>
          <w:p>
            <w:r>
              <w:rPr>
                <w:sz w:val="17"/>
              </w:rPr>
              <w:t>Existing label layouts open, can be changed and saved, and remain usable.</w:t>
            </w:r>
          </w:p>
        </w:tc>
      </w:tr>
      <w:tr>
        <w:trPr>
          <w:cantSplit/>
        </w:trPr>
        <w:tc>
          <w:tcPr>
            <w:tcW w:type="dxa" w:w="792"/>
            <w:vAlign w:val="center"/>
          </w:tcPr>
          <w:p>
            <w:r>
              <w:rPr>
                <w:sz w:val="17"/>
              </w:rPr>
              <w:t>Deferred</w:t>
            </w:r>
          </w:p>
        </w:tc>
        <w:tc>
          <w:tcPr>
            <w:tcW w:type="dxa" w:w="1800"/>
            <w:vAlign w:val="center"/>
          </w:tcPr>
          <w:p>
            <w:r>
              <w:rPr>
                <w:sz w:val="17"/>
              </w:rPr>
              <w:t>Remind My Patient</w:t>
            </w:r>
          </w:p>
        </w:tc>
        <w:tc>
          <w:tcPr>
            <w:tcW w:type="dxa" w:w="5544"/>
            <w:vAlign w:val="center"/>
          </w:tcPr>
          <w:p>
            <w:r>
              <w:rPr>
                <w:sz w:val="17"/>
              </w:rPr>
              <w:t>The existing server-based program is operating well. Do not integrate or alter it now; preserve its configuration and monitor it.</w:t>
            </w:r>
          </w:p>
        </w:tc>
        <w:tc>
          <w:tcPr>
            <w:tcW w:type="dxa" w:w="3024"/>
            <w:vAlign w:val="center"/>
          </w:tcPr>
          <w:p>
            <w:r>
              <w:rPr>
                <w:sz w:val="17"/>
              </w:rPr>
              <w:t>Continue normal operation without duplicate reminders or material failures; retain backups of the working program and configuration.</w:t>
            </w:r>
          </w:p>
        </w:tc>
      </w:tr>
      <w:tr>
        <w:trPr>
          <w:cantSplit/>
        </w:trPr>
        <w:tc>
          <w:tcPr>
            <w:tcW w:type="dxa" w:w="792"/>
            <w:vAlign w:val="center"/>
            <w:shd w:fill="EAF2F8"/>
          </w:tcPr>
          <w:p>
            <w:r>
              <w:rPr>
                <w:sz w:val="17"/>
              </w:rPr>
              <w:t>1</w:t>
            </w:r>
          </w:p>
        </w:tc>
        <w:tc>
          <w:tcPr>
            <w:tcW w:type="dxa" w:w="1800"/>
            <w:vAlign w:val="center"/>
            <w:shd w:fill="EAF2F8"/>
          </w:tcPr>
          <w:p>
            <w:r>
              <w:rPr>
                <w:sz w:val="17"/>
              </w:rPr>
              <w:t>Prescription Centre</w:t>
            </w:r>
          </w:p>
        </w:tc>
        <w:tc>
          <w:tcPr>
            <w:tcW w:type="dxa" w:w="5544"/>
            <w:vAlign w:val="center"/>
            <w:shd w:fill="EAF2F8"/>
          </w:tcPr>
          <w:p>
            <w:r>
              <w:rPr>
                <w:sz w:val="17"/>
              </w:rPr>
              <w:t>Keep the existing Prescriptions choice for medication work and repurpose the unused Immunizations/Vaccines choice as Glasses Rx. The EMR area should show patient identity, current alerts, past prescriptions, and clear new-entry actions.</w:t>
            </w:r>
          </w:p>
        </w:tc>
        <w:tc>
          <w:tcPr>
            <w:tcW w:type="dxa" w:w="3024"/>
            <w:vAlign w:val="center"/>
            <w:shd w:fill="EAF2F8"/>
          </w:tcPr>
          <w:p>
            <w:r>
              <w:rPr>
                <w:sz w:val="17"/>
              </w:rPr>
              <w:t>From a patient record, reach a new prescription or an issued historical prescription in three clicks or fewer; the patient context is never lost.</w:t>
            </w:r>
          </w:p>
        </w:tc>
      </w:tr>
      <w:tr>
        <w:trPr>
          <w:cantSplit/>
        </w:trPr>
        <w:tc>
          <w:tcPr>
            <w:tcW w:type="dxa" w:w="792"/>
            <w:vAlign w:val="center"/>
          </w:tcPr>
          <w:p>
            <w:r>
              <w:rPr>
                <w:sz w:val="17"/>
              </w:rPr>
              <w:t>2</w:t>
            </w:r>
          </w:p>
        </w:tc>
        <w:tc>
          <w:tcPr>
            <w:tcW w:type="dxa" w:w="1800"/>
            <w:vAlign w:val="center"/>
          </w:tcPr>
          <w:p>
            <w:r>
              <w:rPr>
                <w:sz w:val="17"/>
              </w:rPr>
              <w:t>Medication prescriptions</w:t>
            </w:r>
          </w:p>
        </w:tc>
        <w:tc>
          <w:tcPr>
            <w:tcW w:type="dxa" w:w="5544"/>
            <w:vAlign w:val="center"/>
          </w:tcPr>
          <w:p>
            <w:r>
              <w:rPr>
                <w:sz w:val="17"/>
              </w:rPr>
              <w:t>Reuse and simplify the existing medication module. Capture medication, strength, dosage form, route, dose, frequency/directions, quantity, repeats, substitution instruction, prescriber, issue date, notes, and status.</w:t>
            </w:r>
          </w:p>
        </w:tc>
        <w:tc>
          <w:tcPr>
            <w:tcW w:type="dxa" w:w="3024"/>
            <w:vAlign w:val="center"/>
          </w:tcPr>
          <w:p>
            <w:r>
              <w:rPr>
                <w:sz w:val="17"/>
              </w:rPr>
              <w:t>Create, validate, preview, issue, print, retrieve, reissue, and discontinue a test prescription; required information and prescriber identity appear correctly.</w:t>
            </w:r>
          </w:p>
        </w:tc>
      </w:tr>
      <w:tr>
        <w:trPr>
          <w:cantSplit/>
        </w:trPr>
        <w:tc>
          <w:tcPr>
            <w:tcW w:type="dxa" w:w="792"/>
            <w:vAlign w:val="center"/>
            <w:shd w:fill="EAF2F8"/>
          </w:tcPr>
          <w:p>
            <w:r>
              <w:rPr>
                <w:sz w:val="17"/>
              </w:rPr>
              <w:t>3</w:t>
            </w:r>
          </w:p>
        </w:tc>
        <w:tc>
          <w:tcPr>
            <w:tcW w:type="dxa" w:w="1800"/>
            <w:vAlign w:val="center"/>
            <w:shd w:fill="EAF2F8"/>
          </w:tcPr>
          <w:p>
            <w:r>
              <w:rPr>
                <w:sz w:val="17"/>
              </w:rPr>
              <w:t>Glasses prescriptions</w:t>
            </w:r>
          </w:p>
        </w:tc>
        <w:tc>
          <w:tcPr>
            <w:tcW w:type="dxa" w:w="5544"/>
            <w:vAlign w:val="center"/>
            <w:shd w:fill="EAF2F8"/>
          </w:tcPr>
          <w:p>
            <w:r>
              <w:rPr>
                <w:sz w:val="17"/>
              </w:rPr>
              <w:t>Add a separate optical form for OD/OS sphere, cylinder, axis, add, prism/base, pupillary distance, use/lens notes, exam and expiry dates, prescriber, and printable output.</w:t>
            </w:r>
          </w:p>
        </w:tc>
        <w:tc>
          <w:tcPr>
            <w:tcW w:type="dxa" w:w="3024"/>
            <w:vAlign w:val="center"/>
            <w:shd w:fill="EAF2F8"/>
          </w:tcPr>
          <w:p>
            <w:r>
              <w:rPr>
                <w:sz w:val="17"/>
              </w:rPr>
              <w:t>Validated sample prescriptions display correct signs, notation, eye designation, dates, patient and prescriber identity, and are retrievable from history.</w:t>
            </w:r>
          </w:p>
        </w:tc>
      </w:tr>
      <w:tr>
        <w:trPr>
          <w:cantSplit/>
        </w:trPr>
        <w:tc>
          <w:tcPr>
            <w:tcW w:type="dxa" w:w="792"/>
            <w:vAlign w:val="center"/>
          </w:tcPr>
          <w:p>
            <w:r>
              <w:rPr>
                <w:sz w:val="17"/>
              </w:rPr>
              <w:t>4</w:t>
            </w:r>
          </w:p>
        </w:tc>
        <w:tc>
          <w:tcPr>
            <w:tcW w:type="dxa" w:w="1800"/>
            <w:vAlign w:val="center"/>
          </w:tcPr>
          <w:p>
            <w:r>
              <w:rPr>
                <w:sz w:val="17"/>
              </w:rPr>
              <w:t>Prescription history and audit</w:t>
            </w:r>
          </w:p>
        </w:tc>
        <w:tc>
          <w:tcPr>
            <w:tcW w:type="dxa" w:w="5544"/>
            <w:vAlign w:val="center"/>
          </w:tcPr>
          <w:p>
            <w:r>
              <w:rPr>
                <w:sz w:val="17"/>
              </w:rPr>
              <w:t>Keep drafts distinct from issued prescriptions. Issued prescriptions are immutable; correction creates a linked replacement, reissue, discontinuation, or void event with user, workstation, date/time, and reason.</w:t>
            </w:r>
          </w:p>
        </w:tc>
        <w:tc>
          <w:tcPr>
            <w:tcW w:type="dxa" w:w="3024"/>
            <w:vAlign w:val="center"/>
          </w:tcPr>
          <w:p>
            <w:r>
              <w:rPr>
                <w:sz w:val="17"/>
              </w:rPr>
              <w:t>Original issued content remains readable; every later action and related version can be followed from the patient history.</w:t>
            </w:r>
          </w:p>
        </w:tc>
      </w:tr>
      <w:tr>
        <w:trPr>
          <w:cantSplit/>
        </w:trPr>
        <w:tc>
          <w:tcPr>
            <w:tcW w:type="dxa" w:w="792"/>
            <w:vAlign w:val="center"/>
            <w:shd w:fill="EAF2F8"/>
          </w:tcPr>
          <w:p>
            <w:r>
              <w:rPr>
                <w:sz w:val="17"/>
              </w:rPr>
              <w:t>5</w:t>
            </w:r>
          </w:p>
        </w:tc>
        <w:tc>
          <w:tcPr>
            <w:tcW w:type="dxa" w:w="1800"/>
            <w:vAlign w:val="center"/>
            <w:shd w:fill="EAF2F8"/>
          </w:tcPr>
          <w:p>
            <w:r>
              <w:rPr>
                <w:sz w:val="17"/>
              </w:rPr>
              <w:t>EDT Ministry exchange</w:t>
            </w:r>
          </w:p>
        </w:tc>
        <w:tc>
          <w:tcPr>
            <w:tcW w:type="dxa" w:w="5544"/>
            <w:vAlign w:val="center"/>
            <w:shd w:fill="EAF2F8"/>
          </w:tcPr>
          <w:p>
            <w:r>
              <w:rPr>
                <w:sz w:val="17"/>
              </w:rPr>
              <w:t>Retain as a later server-only workstream after prescription work and the workstation pilot are stable.</w:t>
            </w:r>
          </w:p>
        </w:tc>
        <w:tc>
          <w:tcPr>
            <w:tcW w:type="dxa" w:w="3024"/>
            <w:vAlign w:val="center"/>
            <w:shd w:fill="EAF2F8"/>
          </w:tcPr>
          <w:p>
            <w:r>
              <w:rPr>
                <w:sz w:val="17"/>
              </w:rPr>
              <w:t>No change until separately approved and tested with Ministry-approved test data.</w:t>
            </w:r>
          </w:p>
        </w:tc>
      </w:tr>
      <w:tr>
        <w:trPr>
          <w:cantSplit/>
        </w:trPr>
        <w:tc>
          <w:tcPr>
            <w:tcW w:type="dxa" w:w="792"/>
            <w:vAlign w:val="center"/>
          </w:tcPr>
          <w:p>
            <w:r>
              <w:rPr>
                <w:sz w:val="17"/>
              </w:rPr>
              <w:t>6</w:t>
            </w:r>
          </w:p>
        </w:tc>
        <w:tc>
          <w:tcPr>
            <w:tcW w:type="dxa" w:w="1800"/>
            <w:vAlign w:val="center"/>
          </w:tcPr>
          <w:p>
            <w:r>
              <w:rPr>
                <w:sz w:val="17"/>
              </w:rPr>
              <w:t>Further updates</w:t>
            </w:r>
          </w:p>
        </w:tc>
        <w:tc>
          <w:tcPr>
            <w:tcW w:type="dxa" w:w="5544"/>
            <w:vAlign w:val="center"/>
          </w:tcPr>
          <w:p>
            <w:r>
              <w:rPr>
                <w:sz w:val="17"/>
              </w:rPr>
              <w:t>Review pilot defects and requests, prioritizing patient safety, billing accuracy, data integrity, and workflow impact.</w:t>
            </w:r>
          </w:p>
        </w:tc>
        <w:tc>
          <w:tcPr>
            <w:tcW w:type="dxa" w:w="3024"/>
            <w:vAlign w:val="center"/>
          </w:tcPr>
          <w:p>
            <w:r>
              <w:rPr>
                <w:sz w:val="17"/>
              </w:rPr>
              <w:t>Approved backlog, release notes, repeatable regression tests, and a signed deployment decision.</w:t>
            </w:r>
          </w:p>
        </w:tc>
      </w:tr>
    </w:tbl>
    <w:p>
      <w:pPr>
        <w:pStyle w:val="Heading1"/>
        <w:keepNext/>
      </w:pPr>
      <w:r>
        <w:t>Design decisions to confirm before prescription coding</w:t>
      </w:r>
    </w:p>
    <w:p>
      <w:pPr>
        <w:pStyle w:val="ListBullet"/>
        <w:keepLines/>
      </w:pPr>
      <w:r>
        <w:t>Who may create, sign, correct, void, and reissue each prescription type, including delegates and locums.</w:t>
      </w:r>
    </w:p>
    <w:p>
      <w:pPr>
        <w:pStyle w:val="ListBullet"/>
        <w:keepLines/>
      </w:pPr>
      <w:r>
        <w:t>Whether medication data is selected from an existing drug catalogue, entered as free text, or both; how allergies and interaction warnings are presented and acknowledged.</w:t>
      </w:r>
    </w:p>
    <w:p>
      <w:pPr>
        <w:pStyle w:val="ListBullet"/>
        <w:keepLines/>
      </w:pPr>
      <w:r>
        <w:t>The legal/clinical retention period, signature method, printed wording, and whether an issued prescription may ever be edited directly.</w:t>
      </w:r>
    </w:p>
    <w:p>
      <w:pPr>
        <w:pStyle w:val="ListBullet"/>
        <w:keepLines/>
      </w:pPr>
      <w:r>
        <w:t>The exact optical fields, notation, expiry rules, and whether contact-lens prescriptions are a separate form.</w:t>
      </w:r>
    </w:p>
    <w:p>
      <w:pPr>
        <w:pStyle w:val="ListBullet"/>
        <w:keepLines/>
      </w:pPr>
      <w:r>
        <w:t>Which historical documents already exist in DBF/memo/PDF/Word files and how they should appear in one patient timeline without changing their original content.</w:t>
      </w:r>
    </w:p>
    <w:p>
      <w:pPr>
        <w:pStyle w:val="Heading1"/>
        <w:keepNext/>
      </w:pPr>
      <w:r>
        <w:t>Security and data-integrity approach</w:t>
      </w:r>
    </w:p>
    <w:p>
      <w:r>
        <w:t>Treat prescription and billing records as versioned clinical documents. An issued document should remain readable in its original form; later corrections should create a linked replacement or status change. Audit events should be written in the same protected server backup scope as the clinical data, with least-privilege access, reliable workstation/user identification, and periodic review. Before implementation, confirm applicable Ontario privacy, professional-college, Ministry, and organizational requirements with the responsible privacy and clinical leads.</w:t>
      </w:r>
    </w:p>
    <w:p>
      <w:pPr>
        <w:pStyle w:val="Heading1"/>
        <w:keepNext/>
      </w:pPr>
      <w:r>
        <w:t>Definition of ready for the next release</w:t>
      </w:r>
    </w:p>
    <w:p>
      <w:pPr>
        <w:pStyle w:val="ListBullet"/>
        <w:keepLines/>
      </w:pPr>
      <w:r>
        <w:t>Requirements and screen mock-ups approved by clinical and billing users.</w:t>
      </w:r>
    </w:p>
    <w:p>
      <w:pPr>
        <w:pStyle w:val="ListBullet"/>
        <w:keepLines/>
      </w:pPr>
      <w:r>
        <w:t>Database changes documented, backed up, and proven compatible with both existing XP and modern workstation builds during the transition.</w:t>
      </w:r>
    </w:p>
    <w:p>
      <w:pPr>
        <w:pStyle w:val="ListBullet"/>
        <w:keepLines/>
      </w:pPr>
      <w:r>
        <w:t>Automated or repeatable regression tests cover patients, scheduler, fee codes, billing, EDT, Word/PDF, printing, and prescriptions.</w:t>
      </w:r>
    </w:p>
    <w:p>
      <w:pPr>
        <w:pStyle w:val="ListBullet"/>
        <w:keepLines/>
      </w:pPr>
      <w:r>
        <w:t>A numbered test build, checksums, release notes, rollback procedure, and signed pre-live checklist are available.</w:t>
      </w:r>
    </w:p>
    <w:p>
      <w:pPr>
        <w:pStyle w:val="Heading1"/>
        <w:keepNext/>
      </w:pPr>
      <w:r>
        <w:t>Remind My Patient status</w:t>
      </w:r>
    </w:p>
    <w:p>
      <w:r>
        <w:t>Remind My Patient currently runs from the server and works well. Integration into MOSt is deferred. Do not alter its executable, configuration, scheduling, credentials, or delivery process during the prescription workstream. Preserve a verified backup and revisit only if an operational problem or a clear workflow need arises.</w:t>
      </w:r>
    </w:p>
    <w:p>
      <w:pPr>
        <w:pStyle w:val="Heading1"/>
        <w:keepNext/>
      </w:pPr>
      <w:r>
        <w:t>Staged validation and server deployment plan</w:t>
      </w:r>
    </w:p>
    <w:p>
      <w:r>
        <w:t>The present workstation releases are working, so deployment should proceed in stages. V16.15 remains the tested XP release and V16.16 remains the Windows 10 or 11 release. Neither current workstation installer should be run on Windows Server 2008. A later unified release should be prepared specifically for the server and all supported workstation types.</w:t>
      </w:r>
    </w:p>
    <w:p>
      <w:pPr>
        <w:pStyle w:val="Heading2"/>
        <w:keepNext/>
      </w:pPr>
      <w:r>
        <w:t>Stage 1 Continue current testing</w:t>
      </w:r>
    </w:p>
    <w:p>
      <w:pPr>
        <w:pStyle w:val="ListBullet"/>
        <w:keepLines/>
      </w:pPr>
      <w:r>
        <w:t>Continue using V16.15 on the current XP test computer and V16.16 on the current Windows 11 test computer.</w:t>
      </w:r>
    </w:p>
    <w:p>
      <w:pPr>
        <w:pStyle w:val="ListBullet"/>
        <w:keepLines/>
      </w:pPr>
      <w:r>
        <w:t>Test routine patient, scheduler, Claims, Fee Codes, reports, printing, PDF, labels, and EDT folder workflows without changing the Server 2008 program installation.</w:t>
      </w:r>
    </w:p>
    <w:p>
      <w:pPr>
        <w:pStyle w:val="ListBullet"/>
        <w:keepLines/>
      </w:pPr>
      <w:r>
        <w:t>For Claims, confirm A233A and a selection of GP, specialist, technical, professional, and third-party services against the shared fee table.</w:t>
      </w:r>
    </w:p>
    <w:p>
      <w:pPr>
        <w:pStyle w:val="ListBullet"/>
        <w:keepLines/>
      </w:pPr>
      <w:r>
        <w:t>Record every warning, incorrect path, fee difference, lock error, freeze, or unexpected upgrade prompt before expanding the pilot.</w:t>
      </w:r>
    </w:p>
    <w:p>
      <w:pPr>
        <w:pStyle w:val="Heading2"/>
        <w:keepNext/>
      </w:pPr>
      <w:r>
        <w:t>Stage 2 Two workstation pilot</w:t>
      </w:r>
    </w:p>
    <w:p>
      <w:r>
        <w:t>After the present tests remain stable, install the proven packages on one working XP computer and one working Windows 10 computer. Use those two machines with the normal shared system for several days before updating any additional workstation.</w:t>
      </w:r>
    </w:p>
    <w:p>
      <w:pPr>
        <w:pStyle w:val="ListBullet"/>
        <w:keepLines/>
      </w:pPr>
      <w:r>
        <w:t>XP pilot: install V16.15 from the extracted XP ZIP and run the included CMD installer. Do not use the obsolete self-extracting installer.</w:t>
      </w:r>
    </w:p>
    <w:p>
      <w:pPr>
        <w:pStyle w:val="ListBullet"/>
        <w:keepLines/>
      </w:pPr>
      <w:r>
        <w:t>Windows 10 pilot: install V16.16 from the extracted Windows 10 or 11 ZIP. Run the CMD installer as administrator, then run MOSt normally.</w:t>
      </w:r>
    </w:p>
    <w:p>
      <w:pPr>
        <w:pStyle w:val="ListBullet"/>
        <w:keepLines/>
      </w:pPr>
      <w:r>
        <w:t>At the start and end of each pilot day, confirm the K drive, open a patient and scheduler record, and verify that a new test claim reads the current shared fee.</w:t>
      </w:r>
    </w:p>
    <w:p>
      <w:pPr>
        <w:pStyle w:val="ListBullet"/>
        <w:keepLines/>
      </w:pPr>
      <w:r>
        <w:t>Confirm both pilot machines can be open together, that record locking behaves normally, and that closing one machine does not affect the other.</w:t>
      </w:r>
    </w:p>
    <w:p>
      <w:pPr>
        <w:pStyle w:val="ListBullet"/>
        <w:keepLines/>
      </w:pPr>
      <w:r>
        <w:t>Retain each previous MOST.exe backup and do not alter or roll back shared data as part of a workstation rollback.</w:t>
      </w:r>
    </w:p>
    <w:p>
      <w:pPr>
        <w:pStyle w:val="Heading2"/>
        <w:keepNext/>
      </w:pPr>
      <w:r>
        <w:t>Windows 7 x86 decision</w:t>
      </w:r>
    </w:p>
    <w:p>
      <w:r>
        <w:t>The 32-bit MOSt executable and Visual FoxPro runtime are likely capable of running on Windows 7 x86, but neither present package is approved for it. The XP installer deliberately rejects non-XP systems, while the Windows 10 or 11 installer has not been validated on Windows 7. Do not place the Windows 7 machine into the working pilot until a copied-data test confirms startup, scheduler controls, printing, labels, fees, Claims, mapped-drive access, and clean shutdown. The planned unified release should include a clearly labelled Windows 7 x86 package or documented manual installation procedure if Windows 7 must remain in service.</w:t>
      </w:r>
    </w:p>
    <w:p>
      <w:pPr>
        <w:pStyle w:val="Heading2"/>
        <w:keepNext/>
      </w:pPr>
      <w:r>
        <w:t>Stage 3 Prepare the unified server release</w:t>
      </w:r>
    </w:p>
    <w:p>
      <w:r>
        <w:t>After the two-workstation pilot has remained stable for the agreed number of days, prepare a new unified release, provisionally V16.17. It should use one compatible program version across Server 2008 x86, XP, Windows 7 x86 if retained, and Windows 10 or 11, while preserving separate installers for each operating-system group. It must treat the release as code-only unless a separately approved database migration is actually required.</w:t>
      </w:r>
    </w:p>
    <w:p>
      <w:pPr>
        <w:pStyle w:val="ListBullet"/>
        <w:keepLines/>
      </w:pPr>
      <w:r>
        <w:t>Build a dedicated Server 2008 x86 installer; do not repurpose a workstation package.</w:t>
      </w:r>
    </w:p>
    <w:p>
      <w:pPr>
        <w:pStyle w:val="ListBullet"/>
        <w:keepLines/>
      </w:pPr>
      <w:r>
        <w:t>Create matching workstation installers and explicit installation roles for server and workstation operation.</w:t>
      </w:r>
    </w:p>
    <w:p>
      <w:pPr>
        <w:pStyle w:val="ListBullet"/>
        <w:keepLines/>
      </w:pPr>
      <w:r>
        <w:t>Test the complete server application folder and database on a copied dataset before any production installation.</w:t>
      </w:r>
    </w:p>
    <w:p>
      <w:pPr>
        <w:pStyle w:val="ListBullet"/>
        <w:keepLines/>
      </w:pPr>
      <w:r>
        <w:t>Ensure no package includes or overwrites DBF, FPT, CDX, DBC, DCT, or DCX clinical data files.</w:t>
      </w:r>
    </w:p>
    <w:p>
      <w:pPr>
        <w:pStyle w:val="ListBullet"/>
        <w:keepLines/>
      </w:pPr>
      <w:r>
        <w:t>Confirm startup never launches upgrade.fxp or changes the database version unless a reviewed migration package explicitly requires it.</w:t>
      </w:r>
    </w:p>
    <w:p>
      <w:pPr>
        <w:pStyle w:val="ListBullet"/>
        <w:keepLines/>
      </w:pPr>
      <w:r>
        <w:t>Leave the working Remind My Patient server installation and configuration unchanged during the server rollout.</w:t>
      </w:r>
    </w:p>
    <w:p>
      <w:pPr>
        <w:pStyle w:val="Heading2"/>
        <w:keepNext/>
      </w:pPr>
      <w:r>
        <w:t>Copied system acceptance tests</w:t>
      </w:r>
    </w:p>
    <w:p>
      <w:pPr>
        <w:pStyle w:val="ListBullet"/>
        <w:keepLines/>
      </w:pPr>
      <w:r>
        <w:t>Start the server copy and connect one XP and one modern workstation simultaneously.</w:t>
      </w:r>
    </w:p>
    <w:p>
      <w:pPr>
        <w:pStyle w:val="ListBullet"/>
        <w:keepLines/>
      </w:pPr>
      <w:r>
        <w:t>Open, add, edit, and remove designated test patients and appointments; never use real production changes for destructive tests.</w:t>
      </w:r>
    </w:p>
    <w:p>
      <w:pPr>
        <w:pStyle w:val="ListBullet"/>
        <w:keepLines/>
      </w:pPr>
      <w:r>
        <w:t>Create, edit, print, and remove test claims and confirm Fee Codes and Claims use the same physical FEES.DBF.</w:t>
      </w:r>
    </w:p>
    <w:p>
      <w:pPr>
        <w:pStyle w:val="ListBullet"/>
        <w:keepLines/>
      </w:pPr>
      <w:r>
        <w:t>Verify representative GP, specialist, technical, professional, and third-party fee calculations.</w:t>
      </w:r>
    </w:p>
    <w:p>
      <w:pPr>
        <w:pStyle w:val="ListBullet"/>
        <w:keepLines/>
      </w:pPr>
      <w:r>
        <w:t>Open, modify, save, reopen, preview, and print representative label layouts.</w:t>
      </w:r>
    </w:p>
    <w:p>
      <w:pPr>
        <w:pStyle w:val="ListBullet"/>
        <w:keepLines/>
      </w:pPr>
      <w:r>
        <w:t>Run reports and PDF generation, and verify printer selection on each operating system.</w:t>
      </w:r>
    </w:p>
    <w:p>
      <w:pPr>
        <w:pStyle w:val="ListBullet"/>
        <w:keepLines/>
      </w:pPr>
      <w:r>
        <w:t>Create EDT output in the copied server folders without transmitting it to the Ministry.</w:t>
      </w:r>
    </w:p>
    <w:p>
      <w:pPr>
        <w:pStyle w:val="ListBullet"/>
        <w:keepLines/>
      </w:pPr>
      <w:r>
        <w:t>Test concurrent access and expected record locking from at least two workstations.</w:t>
      </w:r>
    </w:p>
    <w:p>
      <w:pPr>
        <w:pStyle w:val="ListBullet"/>
        <w:keepLines/>
      </w:pPr>
      <w:r>
        <w:t>Run backup and reindex procedures on copied data and complete a test restore.</w:t>
      </w:r>
    </w:p>
    <w:p>
      <w:pPr>
        <w:pStyle w:val="ListBullet"/>
        <w:keepLines/>
      </w:pPr>
      <w:r>
        <w:t>Restart every machine and repeat patient, scheduler, fee, claim, label, report, and mapped-drive checks.</w:t>
      </w:r>
    </w:p>
    <w:p>
      <w:pPr>
        <w:pStyle w:val="Heading2"/>
        <w:keepNext/>
      </w:pPr>
      <w:r>
        <w:t>Stage 4 Production server deployment</w:t>
      </w:r>
    </w:p>
    <w:p>
      <w:pPr>
        <w:pStyle w:val="ListBullet"/>
        <w:keepLines/>
      </w:pPr>
      <w:r>
        <w:t>Schedule downtime and confirm every user has closed MOSt on the server and all workstations.</w:t>
      </w:r>
    </w:p>
    <w:p>
      <w:pPr>
        <w:pStyle w:val="ListBullet"/>
        <w:keepLines/>
      </w:pPr>
      <w:r>
        <w:t>Make two complete backups of the MOSt server folder, store one on another physical device, and verify that a test restore can be read.</w:t>
      </w:r>
    </w:p>
    <w:p>
      <w:pPr>
        <w:pStyle w:val="ListBullet"/>
        <w:keepLines/>
      </w:pPr>
      <w:r>
        <w:t>Record the current executable version, database version, database path, mapped-drive or UNC path, installation role, and file permissions.</w:t>
      </w:r>
    </w:p>
    <w:p>
      <w:pPr>
        <w:pStyle w:val="ListBullet"/>
        <w:keepLines/>
      </w:pPr>
      <w:r>
        <w:t>Install only the dedicated unified server package, start MOSt on the server first, and stop immediately if any database-upgrade prompt appears.</w:t>
      </w:r>
    </w:p>
    <w:p>
      <w:pPr>
        <w:pStyle w:val="ListBullet"/>
        <w:keepLines/>
      </w:pPr>
      <w:r>
        <w:t>Run the minimum server checks: patient lookup, scheduler test, current fee lookup, test claim, report, label, backup path, and EDT folder path.</w:t>
      </w:r>
    </w:p>
    <w:p>
      <w:pPr>
        <w:pStyle w:val="ListBullet"/>
        <w:keepLines/>
      </w:pPr>
      <w:r>
        <w:t>Update one pilot workstation to the matching unified version and repeat the acceptance tests before updating the remaining machines.</w:t>
      </w:r>
    </w:p>
    <w:p>
      <w:pPr>
        <w:pStyle w:val="ListBullet"/>
        <w:keepLines/>
      </w:pPr>
      <w:r>
        <w:t>Keep the prior executable and complete database backup until the deployment has operated successfully for the agreed observation period.</w:t>
      </w:r>
    </w:p>
    <w:p>
      <w:pPr>
        <w:pStyle w:val="Heading1"/>
        <w:keepNext/>
      </w:pPr>
      <w:r>
        <w:t>Legacy Word document strategy</w:t>
      </w:r>
    </w:p>
    <w:p>
      <w:r>
        <w:t>A full Word and letter-system migration should be deferred unless an operational need arises. The present Word 2000 and Word 2003 document collection is working, the practice has enough Windows XP capacity to cover a workstation failure, and the anticipated retirement horizon is approximately 15 months. Changing Office versions or converting shared documents now would add document, macro, printing, and layout risk without a clear operational benefit.</w:t>
      </w:r>
    </w:p>
    <w:p>
      <w:pPr>
        <w:pStyle w:val="Heading2"/>
        <w:keepNext/>
      </w:pPr>
      <w:r>
        <w:t>Current operating decision</w:t>
      </w:r>
    </w:p>
    <w:p>
      <w:pPr>
        <w:pStyle w:val="ListBullet"/>
        <w:keepLines/>
      </w:pPr>
      <w:r>
        <w:t>Keep the working Windows XP computers on Word 2000 and MOSt V16.15; do not change or convert their shared Word documents.</w:t>
      </w:r>
    </w:p>
    <w:p>
      <w:pPr>
        <w:pStyle w:val="ListBullet"/>
        <w:keepLines/>
      </w:pPr>
      <w:r>
        <w:t>Leave the server's present Word 2003 and original MOSt installation unchanged. Record the exact wording and circumstances of any errors that are currently cancelled.</w:t>
      </w:r>
    </w:p>
    <w:p>
      <w:pPr>
        <w:pStyle w:val="ListBullet"/>
        <w:keepLines/>
      </w:pPr>
      <w:r>
        <w:t>Use MOSt V16.16 on Windows 10, but do not create or edit production Word charts there until a separate compatibility test has passed.</w:t>
      </w:r>
    </w:p>
    <w:p>
      <w:pPr>
        <w:pStyle w:val="ListBullet"/>
        <w:keepLines/>
      </w:pPr>
      <w:r>
        <w:t>Leave the Windows 7 x86 Word and MOSt configuration unchanged until it is tested on copied data.</w:t>
      </w:r>
    </w:p>
    <w:p>
      <w:pPr>
        <w:pStyle w:val="ListBullet"/>
        <w:keepLines/>
      </w:pPr>
      <w:r>
        <w:t>Preserve all shared charts, letter templates, saved letters, Word macros, and Normal.dot files in their existing Word 97-2003 formats. Do not bulk-convert them to DOCX or newer template formats.</w:t>
      </w:r>
    </w:p>
    <w:p>
      <w:pPr>
        <w:pStyle w:val="Heading2"/>
        <w:keepNext/>
      </w:pPr>
      <w:r>
        <w:t>Optional future Word 2013 test</w:t>
      </w:r>
    </w:p>
    <w:p>
      <w:r>
        <w:t>Word 2013 is available as a future compatibility candidate if a Windows 10 workstation must create or edit letters. It is not required for the present rollout and is no longer supported by Microsoft, so it should be treated as a controlled bridge rather than a long-term supported solution.</w:t>
      </w:r>
    </w:p>
    <w:p>
      <w:pPr>
        <w:pStyle w:val="ListBullet"/>
        <w:keepLines/>
      </w:pPr>
      <w:r>
        <w:t>Install and test Word 2013 on only one non-production or recoverable Windows 10 workstation, preferably using the 32-bit Office edition.</w:t>
      </w:r>
    </w:p>
    <w:p>
      <w:pPr>
        <w:pStyle w:val="ListBullet"/>
        <w:keepLines/>
      </w:pPr>
      <w:r>
        <w:t>Use a complete copied MOSt database, copied LETTERS folder, copied templates, and representative copied charts for the initial tests.</w:t>
      </w:r>
    </w:p>
    <w:p>
      <w:pPr>
        <w:pStyle w:val="ListBullet"/>
        <w:keepLines/>
      </w:pPr>
      <w:r>
        <w:t>Set the default save format to Word 97-2003 Document (DOC), retain templates in their existing formats, and decline all conversion prompts during testing.</w:t>
      </w:r>
    </w:p>
    <w:p>
      <w:pPr>
        <w:pStyle w:val="ListBullet"/>
        <w:keepLines/>
      </w:pPr>
      <w:r>
        <w:t>Restore and test MOSt.Macro2, MOSt.Macro3, and MOSt.Macro4 from a backed-up trusted template or Word Startup location.</w:t>
      </w:r>
    </w:p>
    <w:p>
      <w:pPr>
        <w:pStyle w:val="ListBullet"/>
        <w:keepLines/>
      </w:pPr>
      <w:r>
        <w:t>Create, merge, save, reopen, edit, and print representative letters, then compare pagination, margins, fonts, fields, and printer output with Word 2000.</w:t>
      </w:r>
    </w:p>
    <w:p>
      <w:pPr>
        <w:pStyle w:val="ListBullet"/>
        <w:keepLines/>
      </w:pPr>
      <w:r>
        <w:t>Do not allow the Word 2013 test installation to open or save the original shared charts until copied-file testing and rollback checks have passed.</w:t>
      </w:r>
    </w:p>
    <w:p>
      <w:pPr>
        <w:pStyle w:val="Heading2"/>
        <w:keepNext/>
      </w:pPr>
      <w:r>
        <w:t>Reasons to reconsider a full upgrade</w:t>
      </w:r>
    </w:p>
    <w:p>
      <w:r>
        <w:t>Begin a full Word and letter-system upgrade only if one or more of the following occurs: the reserve XP computers are no longer dependable; Word 2000 prevents an essential workflow; a Windows 10 workstation must author production letters; recurring Word errors threaten document integrity; a security, privacy, or support requirement makes continued use unacceptable; or the expected practice timeline materially changes.</w:t>
      </w:r>
    </w:p>
    <w:p>
      <w:r>
        <w:t>If none of those triggers occurs, continue the stable legacy arrangement, maintain tested workstation images and spare hardware, and keep at least two verified backups of the complete shared letter and chart collection. A broad document conversion is not a prerequisite for the current MOSt workstation or server rollout.</w:t>
      </w:r>
    </w:p>
    <w:p>
      <w:pPr>
        <w:pStyle w:val="Heading1"/>
        <w:keepNext/>
      </w:pPr>
      <w:r>
        <w:t>Current live pilot decision</w:t>
      </w:r>
    </w:p>
    <w:p>
      <w:r>
        <w:t>Testing has met the present operating parameters, so the next step may proceed as a limited live workstation pilot. This is not a server upgrade or a full deployment. The Windows Server installation, shared database structure, and server Word installation must remain untouched.</w:t>
      </w:r>
    </w:p>
    <w:p>
      <w:pPr>
        <w:pStyle w:val="ListBullet"/>
        <w:keepLines/>
      </w:pPr>
      <w:r>
        <w:t>Before the pilot, make two complete readable backups of the server MOSt folder and store one on a different physical device.</w:t>
      </w:r>
    </w:p>
    <w:p>
      <w:pPr>
        <w:pStyle w:val="ListBullet"/>
        <w:keepLines/>
      </w:pPr>
      <w:r>
        <w:t>Use one proven Windows XP workstation with V16.15 and one proven Windows 10 workstation with V16.16 for the live pilot.</w:t>
      </w:r>
    </w:p>
    <w:p>
      <w:pPr>
        <w:pStyle w:val="ListBullet"/>
        <w:keepLines/>
      </w:pPr>
      <w:r>
        <w:t>Keep Word 2000 on the XP workstations and make no production Word-format or template changes during the pilot.</w:t>
      </w:r>
    </w:p>
    <w:p>
      <w:pPr>
        <w:pStyle w:val="ListBullet"/>
        <w:keepLines/>
      </w:pPr>
      <w:r>
        <w:t>Retain the prior MOST.exe on each pilot workstation and record its version and location before installation.</w:t>
      </w:r>
    </w:p>
    <w:p>
      <w:pPr>
        <w:pStyle w:val="ListBullet"/>
        <w:keepLines/>
      </w:pPr>
      <w:r>
        <w:t>At the beginning and end of each pilot day, confirm patient access, scheduler operation, current fee lookup, a controlled claim, labels, printing, Word letters where applicable, mapped-drive access, and normal record locking.</w:t>
      </w:r>
    </w:p>
    <w:p>
      <w:pPr>
        <w:pStyle w:val="ListBullet"/>
        <w:keepLines/>
      </w:pPr>
      <w:r>
        <w:t>Record every warning or unexpected result. Stop expanding the pilot if there is an incorrect fee, database-upgrade prompt, repeated lock error, Word document change, data-integrity concern, or inability to restore the prior workstation executable.</w:t>
      </w:r>
    </w:p>
    <w:p>
      <w:pPr>
        <w:pStyle w:val="ListBullet"/>
        <w:keepLines/>
      </w:pPr>
      <w:r>
        <w:t>After several stable operating days, review the recorded results before deciding whether to update any additional workstation.</w:t>
      </w:r>
    </w:p>
    <w:p>
      <w:r>
        <w:br w:type="page"/>
      </w:r>
    </w:p>
    <w:p>
      <w:pPr>
        <w:pStyle w:val="Heading1"/>
      </w:pPr>
      <w:r>
        <w:t>Prescription Centre — code assessment and recommended design</w:t>
      </w:r>
    </w:p>
    <w:p>
      <w:r>
        <w:t>The existing MOSt code contains a mature medication-prescription module rather than a small placeholder. The patient EMR menu already has a Prescriptions command, passes the patient ID and name, and the prescription form obtains the date of birth from the patient screen. Existing tables and controls cover generic and brand names, format, route, dose, frequency, quantity, repeats, no-substitution, ongoing status, comments, instructions, allergies, prescriber selection, history, preview, and printing. This should be reused selectively, not rebuilt from nothing.</w:t>
      </w:r>
    </w:p>
    <w:p>
      <w:pPr>
        <w:pStyle w:val="Heading2"/>
      </w:pPr>
      <w:r>
        <w:t>Recommended patient workflow</w:t>
      </w:r>
    </w:p>
    <w:p>
      <w:pPr>
        <w:pStyle w:val="ListBullet"/>
      </w:pPr>
      <w:r>
        <w:t>Click EMR on the patient screen, then open Prescription Centre.</w:t>
      </w:r>
    </w:p>
    <w:p>
      <w:pPr>
        <w:pStyle w:val="ListBullet"/>
      </w:pPr>
      <w:r>
        <w:t>Rename the existing Immunizations menu choice to Glasses Rx and route it to the new glasses form. Leave the IMMUNE and VACCINE tables intact but unused, making the menu change reversible and avoiding unnecessary data risk.</w:t>
      </w:r>
    </w:p>
    <w:p>
      <w:pPr>
        <w:pStyle w:val="ListBullet"/>
      </w:pPr>
      <w:r>
        <w:t>Show a fixed patient header: full name, date of birth, health-card identifier when appropriate, and a prominent allergy alert. The patient cannot be changed from this window.</w:t>
      </w:r>
    </w:p>
    <w:p>
      <w:pPr>
        <w:pStyle w:val="ListBullet"/>
      </w:pPr>
      <w:r>
        <w:t>Show Billing MD as the default Prescribing MD, but use a clearly labelled prescriber selector with authorization checks so the issued prescription always records the actual prescriber.</w:t>
      </w:r>
    </w:p>
    <w:p>
      <w:pPr>
        <w:pStyle w:val="ListBullet"/>
      </w:pPr>
      <w:r>
        <w:t>Show issued prescription history immediately, newest first, with filters for Medication, Glasses, status, prescriber, and date.</w:t>
      </w:r>
    </w:p>
    <w:p>
      <w:pPr>
        <w:pStyle w:val="ListBullet"/>
      </w:pPr>
      <w:r>
        <w:t>Provide large actions: New Medication, New Glasses, View/Print, Copy as New, Discontinue/Void, and Close.</w:t>
      </w:r>
    </w:p>
    <w:p>
      <w:pPr>
        <w:pStyle w:val="ListBullet"/>
      </w:pPr>
      <w:r>
        <w:t>Save new work as Draft. An explicit Issue/Sign action validates required fields and freezes the issued version. Corrections create a linked replacement; they never overwrite the original.</w:t>
      </w:r>
    </w:p>
    <w:p>
      <w:pPr>
        <w:pStyle w:val="Heading2"/>
      </w:pPr>
      <w:r>
        <w:t>Medication prescription template</w:t>
      </w:r>
    </w:p>
    <w:tbl>
      <w:tblPr>
        <w:tblStyle w:val="TableGrid"/>
        <w:tblW w:type="auto" w:w="0"/>
        <w:tblLook w:firstColumn="1" w:firstRow="1" w:lastColumn="0" w:lastRow="0" w:noHBand="0" w:noVBand="1" w:val="04A0"/>
      </w:tblPr>
      <w:tblGrid>
        <w:gridCol w:w="5040"/>
        <w:gridCol w:w="5040"/>
      </w:tblGrid>
      <w:tr>
        <w:tc>
          <w:tcPr>
            <w:tcW w:type="dxa" w:w="5040"/>
          </w:tcPr>
          <w:p>
            <w:r>
              <w:rPr>
                <w:sz w:val="17"/>
              </w:rPr>
              <w:t>Section</w:t>
            </w:r>
          </w:p>
        </w:tc>
        <w:tc>
          <w:tcPr>
            <w:tcW w:type="dxa" w:w="5040"/>
          </w:tcPr>
          <w:p>
            <w:r>
              <w:rPr>
                <w:sz w:val="17"/>
              </w:rPr>
              <w:t>Recommended fields and behaviour</w:t>
            </w:r>
          </w:p>
        </w:tc>
      </w:tr>
      <w:tr>
        <w:tc>
          <w:tcPr>
            <w:tcW w:type="dxa" w:w="5040"/>
          </w:tcPr>
          <w:p>
            <w:r>
              <w:rPr>
                <w:sz w:val="17"/>
              </w:rPr>
              <w:t>Patient</w:t>
            </w:r>
          </w:p>
        </w:tc>
        <w:tc>
          <w:tcPr>
            <w:tcW w:type="dxa" w:w="5040"/>
          </w:tcPr>
          <w:p>
            <w:r>
              <w:rPr>
                <w:sz w:val="17"/>
              </w:rPr>
              <w:t>Name; date of birth; address/telephone if used on the printed form; health-card or other identifier only when required or clinically appropriate; allergy and intolerance alert.</w:t>
            </w:r>
          </w:p>
        </w:tc>
      </w:tr>
      <w:tr>
        <w:tc>
          <w:tcPr>
            <w:tcW w:type="dxa" w:w="5040"/>
          </w:tcPr>
          <w:p>
            <w:r>
              <w:rPr>
                <w:sz w:val="17"/>
              </w:rPr>
              <w:t>Prescriber</w:t>
            </w:r>
          </w:p>
        </w:tc>
        <w:tc>
          <w:tcPr>
            <w:tcW w:type="dxa" w:w="5040"/>
          </w:tcPr>
          <w:p>
            <w:r>
              <w:rPr>
                <w:sz w:val="17"/>
              </w:rPr>
              <w:t>Printed name; professional designation; CPSO registration number; practice address and telephone; signature/e-signature; Billing MD preselected as Prescribing MD, subject to confirmation.</w:t>
            </w:r>
          </w:p>
        </w:tc>
      </w:tr>
      <w:tr>
        <w:tc>
          <w:tcPr>
            <w:tcW w:type="dxa" w:w="5040"/>
          </w:tcPr>
          <w:p>
            <w:r>
              <w:rPr>
                <w:sz w:val="17"/>
              </w:rPr>
              <w:t>Medication</w:t>
            </w:r>
          </w:p>
        </w:tc>
        <w:tc>
          <w:tcPr>
            <w:tcW w:type="dxa" w:w="5040"/>
          </w:tcPr>
          <w:p>
            <w:r>
              <w:rPr>
                <w:sz w:val="17"/>
              </w:rPr>
              <w:t>Drug name; strength; dosage form such as tablet, capsule, liquid, drops, cream, inhaler, patch, or injection; route; dose; frequency/timing; duration or stop date when appropriate.</w:t>
            </w:r>
          </w:p>
        </w:tc>
      </w:tr>
      <w:tr>
        <w:tc>
          <w:tcPr>
            <w:tcW w:type="dxa" w:w="5040"/>
          </w:tcPr>
          <w:p>
            <w:r>
              <w:rPr>
                <w:sz w:val="17"/>
              </w:rPr>
              <w:t>Directions</w:t>
            </w:r>
          </w:p>
        </w:tc>
        <w:tc>
          <w:tcPr>
            <w:tcW w:type="dxa" w:w="5040"/>
          </w:tcPr>
          <w:p>
            <w:r>
              <w:rPr>
                <w:sz w:val="17"/>
              </w:rPr>
              <w:t>Plain-language directions for use, including site/eye where relevant; additional instructions; indication optional; avoid ambiguous abbreviations.</w:t>
            </w:r>
          </w:p>
        </w:tc>
      </w:tr>
      <w:tr>
        <w:tc>
          <w:tcPr>
            <w:tcW w:type="dxa" w:w="5040"/>
          </w:tcPr>
          <w:p>
            <w:r>
              <w:rPr>
                <w:sz w:val="17"/>
              </w:rPr>
              <w:t>Supply</w:t>
            </w:r>
          </w:p>
        </w:tc>
        <w:tc>
          <w:tcPr>
            <w:tcW w:type="dxa" w:w="5040"/>
          </w:tcPr>
          <w:p>
            <w:r>
              <w:rPr>
                <w:sz w:val="17"/>
              </w:rPr>
              <w:t>Quantity; units; repeats/refills; interval or limits where required; substitution instruction; pharmacy details only when required for a special prescription or chosen workflow.</w:t>
            </w:r>
          </w:p>
        </w:tc>
      </w:tr>
      <w:tr>
        <w:tc>
          <w:tcPr>
            <w:tcW w:type="dxa" w:w="5040"/>
          </w:tcPr>
          <w:p>
            <w:r>
              <w:rPr>
                <w:sz w:val="17"/>
              </w:rPr>
              <w:t>Issue</w:t>
            </w:r>
          </w:p>
        </w:tc>
        <w:tc>
          <w:tcPr>
            <w:tcW w:type="dxa" w:w="5040"/>
          </w:tcPr>
          <w:p>
            <w:r>
              <w:rPr>
                <w:sz w:val="17"/>
              </w:rPr>
              <w:t>Full issue date; Draft/Issued/Discontinued/Void/Replaced status; authorizing user and prescriber; print/reprint record; linked replacement or reissue.</w:t>
            </w:r>
          </w:p>
        </w:tc>
      </w:tr>
      <w:tr>
        <w:tc>
          <w:tcPr>
            <w:tcW w:type="dxa" w:w="5040"/>
          </w:tcPr>
          <w:p>
            <w:r>
              <w:rPr>
                <w:sz w:val="17"/>
              </w:rPr>
              <w:t>Safety</w:t>
            </w:r>
          </w:p>
        </w:tc>
        <w:tc>
          <w:tcPr>
            <w:tcW w:type="dxa" w:w="5040"/>
          </w:tcPr>
          <w:p>
            <w:r>
              <w:rPr>
                <w:sz w:val="17"/>
              </w:rPr>
              <w:t>Required-field checks, dose/unit consistency checks, allergy acknowledgment, and a final preview. Do not present the old drug lists as a current authoritative formulary without a maintained data source.</w:t>
            </w:r>
          </w:p>
        </w:tc>
      </w:tr>
    </w:tbl>
    <w:p>
      <w:pPr>
        <w:pStyle w:val="Heading2"/>
      </w:pPr>
      <w:r>
        <w:t>Glasses prescription template</w:t>
      </w:r>
    </w:p>
    <w:tbl>
      <w:tblPr>
        <w:tblStyle w:val="TableGrid"/>
        <w:tblW w:type="auto" w:w="0"/>
        <w:tblLook w:firstColumn="1" w:firstRow="1" w:lastColumn="0" w:lastRow="0" w:noHBand="0" w:noVBand="1" w:val="04A0"/>
      </w:tblPr>
      <w:tblGrid>
        <w:gridCol w:w="3360"/>
        <w:gridCol w:w="3360"/>
        <w:gridCol w:w="3360"/>
      </w:tblGrid>
      <w:tr>
        <w:tc>
          <w:tcPr>
            <w:tcW w:type="dxa" w:w="3360"/>
          </w:tcPr>
          <w:p>
            <w:r>
              <w:rPr>
                <w:sz w:val="17"/>
              </w:rPr>
              <w:t>Field</w:t>
            </w:r>
          </w:p>
        </w:tc>
        <w:tc>
          <w:tcPr>
            <w:tcW w:type="dxa" w:w="3360"/>
          </w:tcPr>
          <w:p>
            <w:r>
              <w:rPr>
                <w:sz w:val="17"/>
              </w:rPr>
              <w:t>Right eye (OD)</w:t>
            </w:r>
          </w:p>
        </w:tc>
        <w:tc>
          <w:tcPr>
            <w:tcW w:type="dxa" w:w="3360"/>
          </w:tcPr>
          <w:p>
            <w:r>
              <w:rPr>
                <w:sz w:val="17"/>
              </w:rPr>
              <w:t>Left eye (OS)</w:t>
            </w:r>
          </w:p>
        </w:tc>
      </w:tr>
      <w:tr>
        <w:tc>
          <w:tcPr>
            <w:tcW w:type="dxa" w:w="3360"/>
          </w:tcPr>
          <w:p>
            <w:r>
              <w:rPr>
                <w:sz w:val="17"/>
              </w:rPr>
              <w:t>Sphere</w:t>
            </w:r>
          </w:p>
        </w:tc>
        <w:tc>
          <w:tcPr>
            <w:tcW w:type="dxa" w:w="3360"/>
          </w:tcPr>
          <w:p>
            <w:r>
              <w:rPr>
                <w:sz w:val="17"/>
              </w:rPr>
            </w:r>
          </w:p>
        </w:tc>
        <w:tc>
          <w:tcPr>
            <w:tcW w:type="dxa" w:w="3360"/>
          </w:tcPr>
          <w:p>
            <w:r>
              <w:rPr>
                <w:sz w:val="17"/>
              </w:rPr>
            </w:r>
          </w:p>
        </w:tc>
      </w:tr>
      <w:tr>
        <w:tc>
          <w:tcPr>
            <w:tcW w:type="dxa" w:w="3360"/>
          </w:tcPr>
          <w:p>
            <w:r>
              <w:rPr>
                <w:sz w:val="17"/>
              </w:rPr>
              <w:t>Cylinder</w:t>
            </w:r>
          </w:p>
        </w:tc>
        <w:tc>
          <w:tcPr>
            <w:tcW w:type="dxa" w:w="3360"/>
          </w:tcPr>
          <w:p>
            <w:r>
              <w:rPr>
                <w:sz w:val="17"/>
              </w:rPr>
            </w:r>
          </w:p>
        </w:tc>
        <w:tc>
          <w:tcPr>
            <w:tcW w:type="dxa" w:w="3360"/>
          </w:tcPr>
          <w:p>
            <w:r>
              <w:rPr>
                <w:sz w:val="17"/>
              </w:rPr>
            </w:r>
          </w:p>
        </w:tc>
      </w:tr>
      <w:tr>
        <w:tc>
          <w:tcPr>
            <w:tcW w:type="dxa" w:w="3360"/>
          </w:tcPr>
          <w:p>
            <w:r>
              <w:rPr>
                <w:sz w:val="17"/>
              </w:rPr>
              <w:t>Axis</w:t>
            </w:r>
          </w:p>
        </w:tc>
        <w:tc>
          <w:tcPr>
            <w:tcW w:type="dxa" w:w="3360"/>
          </w:tcPr>
          <w:p>
            <w:r>
              <w:rPr>
                <w:sz w:val="17"/>
              </w:rPr>
            </w:r>
          </w:p>
        </w:tc>
        <w:tc>
          <w:tcPr>
            <w:tcW w:type="dxa" w:w="3360"/>
          </w:tcPr>
          <w:p>
            <w:r>
              <w:rPr>
                <w:sz w:val="17"/>
              </w:rPr>
            </w:r>
          </w:p>
        </w:tc>
      </w:tr>
      <w:tr>
        <w:tc>
          <w:tcPr>
            <w:tcW w:type="dxa" w:w="3360"/>
          </w:tcPr>
          <w:p>
            <w:r>
              <w:rPr>
                <w:sz w:val="17"/>
              </w:rPr>
              <w:t>Add / boost</w:t>
            </w:r>
          </w:p>
        </w:tc>
        <w:tc>
          <w:tcPr>
            <w:tcW w:type="dxa" w:w="3360"/>
          </w:tcPr>
          <w:p>
            <w:r>
              <w:rPr>
                <w:sz w:val="17"/>
              </w:rPr>
            </w:r>
          </w:p>
        </w:tc>
        <w:tc>
          <w:tcPr>
            <w:tcW w:type="dxa" w:w="3360"/>
          </w:tcPr>
          <w:p>
            <w:r>
              <w:rPr>
                <w:sz w:val="17"/>
              </w:rPr>
            </w:r>
          </w:p>
        </w:tc>
      </w:tr>
      <w:tr>
        <w:tc>
          <w:tcPr>
            <w:tcW w:type="dxa" w:w="3360"/>
          </w:tcPr>
          <w:p>
            <w:r>
              <w:rPr>
                <w:sz w:val="17"/>
              </w:rPr>
              <w:t>Horizontal prism and base</w:t>
            </w:r>
          </w:p>
        </w:tc>
        <w:tc>
          <w:tcPr>
            <w:tcW w:type="dxa" w:w="3360"/>
          </w:tcPr>
          <w:p>
            <w:r>
              <w:rPr>
                <w:sz w:val="17"/>
              </w:rPr>
            </w:r>
          </w:p>
        </w:tc>
        <w:tc>
          <w:tcPr>
            <w:tcW w:type="dxa" w:w="3360"/>
          </w:tcPr>
          <w:p>
            <w:r>
              <w:rPr>
                <w:sz w:val="17"/>
              </w:rPr>
            </w:r>
          </w:p>
        </w:tc>
      </w:tr>
      <w:tr>
        <w:tc>
          <w:tcPr>
            <w:tcW w:type="dxa" w:w="3360"/>
          </w:tcPr>
          <w:p>
            <w:r>
              <w:rPr>
                <w:sz w:val="17"/>
              </w:rPr>
              <w:t>Vertical prism and base</w:t>
            </w:r>
          </w:p>
        </w:tc>
        <w:tc>
          <w:tcPr>
            <w:tcW w:type="dxa" w:w="3360"/>
          </w:tcPr>
          <w:p>
            <w:r>
              <w:rPr>
                <w:sz w:val="17"/>
              </w:rPr>
            </w:r>
          </w:p>
        </w:tc>
        <w:tc>
          <w:tcPr>
            <w:tcW w:type="dxa" w:w="3360"/>
          </w:tcPr>
          <w:p>
            <w:r>
              <w:rPr>
                <w:sz w:val="17"/>
              </w:rPr>
            </w:r>
          </w:p>
        </w:tc>
      </w:tr>
    </w:tbl>
    <w:p>
      <w:r>
        <w:t>Additional shared fields: binocular or monocular pupillary distance; lens/use category (distance, near, bifocal/progressive, occupational, myopia management); clinically necessary vertex distance or bicentric prism; special instructions; date of eye examination; issue date; expiry date; patient name; prescriber name, designation, registration number, practice address, telephone, and signature. Keep contact-lens prescriptions as a later separate form because brand/design, material, base curve, diameter, and fitting parameters differ from spectacle prescriptions.</w:t>
      </w:r>
    </w:p>
    <w:p>
      <w:pPr>
        <w:pStyle w:val="Heading2"/>
      </w:pPr>
      <w:r>
        <w:t>Technical approach</w:t>
      </w:r>
    </w:p>
    <w:p>
      <w:pPr>
        <w:pStyle w:val="ListBullet"/>
      </w:pPr>
      <w:r>
        <w:t>Retain the existing prescription tables and screen during the first prototype so current data remains readable. Build the new hub as a thin navigation and history layer.</w:t>
      </w:r>
    </w:p>
    <w:p>
      <w:pPr>
        <w:pStyle w:val="ListBullet"/>
      </w:pPr>
      <w:r>
        <w:t>The current patient form uses EMR menu bar 3 for Immunizations and bar 5 for Prescriptions. Change bar 3 to Glasses Rx and its handler to the optical form; retain bar 5 for Medication Rx. First confirm the unused immunization tables contain no records and that no reports or exports depend on that menu path.</w:t>
      </w:r>
    </w:p>
    <w:p>
      <w:pPr>
        <w:pStyle w:val="ListBullet"/>
      </w:pPr>
      <w:r>
        <w:t>Add glasses data in separate tables rather than forcing optical measurements into medication fields. A shared prescription header can hold patient, type, prescriber, dates, status, version linkage, and audit identifiers; type-specific child tables hold medication or optical details.</w:t>
      </w:r>
    </w:p>
    <w:p>
      <w:pPr>
        <w:pStyle w:val="ListBullet"/>
      </w:pPr>
      <w:r>
        <w:t>Replace the hard-coded C:\Program Files\MOSt\LABELS\prescription_template.htm path with the configured MOSt program path. Keep a fallback only for legacy installations.</w:t>
      </w:r>
    </w:p>
    <w:p>
      <w:pPr>
        <w:pStyle w:val="ListBullet"/>
      </w:pPr>
      <w:r>
        <w:t>Store prescription content as structured DBF data and generate a stable print/PDF view from MOSt. Do not make Word 2000/2003/2013 the system of record; this avoids document-conversion and automation risks.</w:t>
      </w:r>
    </w:p>
    <w:p>
      <w:pPr>
        <w:pStyle w:val="ListBullet"/>
      </w:pPr>
      <w:r>
        <w:t>Prototype and test on copied data first. Database changes need a separately reviewed, backup-tested migration compatible with the supported XP, Windows 7, Server 2008 x86, and Windows 10/11 transition environment.</w:t>
      </w:r>
    </w:p>
    <w:p>
      <w:pPr>
        <w:pStyle w:val="Heading2"/>
      </w:pPr>
      <w:r>
        <w:t>Suggested implementation phases</w:t>
      </w:r>
    </w:p>
    <w:p>
      <w:pPr>
        <w:pStyle w:val="ListBullet"/>
      </w:pPr>
      <w:r>
        <w:t>Phase 1 — read-only inventory and mock-up: confirm every existing field/table relationship, locate all prescription history, and approve the Prescription Centre and print layouts.</w:t>
      </w:r>
    </w:p>
    <w:p>
      <w:pPr>
        <w:pStyle w:val="ListBullet"/>
      </w:pPr>
      <w:r>
        <w:t>Phase 2 — medication path: place the existing module behind the new hub, correct paths and prescriber mapping, simplify entry, add validation/status/version behaviour, and preserve old prescriptions.</w:t>
      </w:r>
    </w:p>
    <w:p>
      <w:pPr>
        <w:pStyle w:val="ListBullet"/>
      </w:pPr>
      <w:r>
        <w:t>Phase 3 — glasses path: add the optical schema, form, history, print/PDF template, and optical validation.</w:t>
      </w:r>
    </w:p>
    <w:p>
      <w:pPr>
        <w:pStyle w:val="ListBullet"/>
      </w:pPr>
      <w:r>
        <w:t>Phase 4 — copied-data regression: test create, draft, issue, print, reprint, retrieve, copy-as-new, discontinue, void, replacement, concurrent access, backup, restore, and rollback on each supported operating-system group.</w:t>
      </w:r>
    </w:p>
    <w:p>
      <w:pPr>
        <w:pStyle w:val="ListBullet"/>
      </w:pPr>
      <w:r>
        <w:t>Phase 5 — limited pilot: release only after a clinician validates representative medication and optical samples and confirms printed content and workflow.</w:t>
      </w:r>
    </w:p>
    <w:p>
      <w:pPr>
        <w:pStyle w:val="Heading2"/>
      </w:pPr>
      <w:r>
        <w:t>Clinical and compliance confirmation</w:t>
      </w:r>
    </w:p>
    <w:p>
      <w:r>
        <w:t>The field lists above are design guidance based on current Ontario professional sources, not a substitute for clinical, privacy, pharmacy, or legal review. Before production use, the responsible physician should approve the exact required fields, signing method, controlled/monitored-drug rules, optical notation, expiry rules, delegation, correction/void procedure, retention, and print wording.</w:t>
      </w:r>
    </w:p>
    <w:p>
      <w:pPr>
        <w:pStyle w:val="Heading2"/>
      </w:pPr>
      <w:r>
        <w:t>Reference sources reviewed</w:t>
      </w:r>
    </w:p>
    <w:p>
      <w:pPr>
        <w:pStyle w:val="ListBullet"/>
      </w:pPr>
      <w:r>
        <w:t xml:space="preserve">CPSO — Prescribing Drugs: </w:t>
      </w:r>
      <w:r>
        <w:t>https://www.cpso.on.ca/physicians/policies-guidance/policies/prescribing-drugs</w:t>
      </w:r>
    </w:p>
    <w:p>
      <w:pPr>
        <w:pStyle w:val="ListBullet"/>
      </w:pPr>
      <w:r>
        <w:t xml:space="preserve">College of Optometrists of Ontario — information included in an optical prescription: </w:t>
      </w:r>
      <w:r>
        <w:t>https://collegeoptom.on.ca/cgcpt-faq/what-information-is-included-in-a-prescription/</w:t>
      </w:r>
    </w:p>
    <w:p>
      <w:pPr>
        <w:pStyle w:val="ListBullet"/>
      </w:pPr>
      <w:r>
        <w:t xml:space="preserve">College of Optometrists of Ontario — Optometric Practice Reference 5.2, The Prescription: </w:t>
      </w:r>
      <w:r>
        <w:t>https://collegeoptom.on.ca/wp-content/uploads/OPR_5.2_The_Prescription.pdf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MOSt through V16.16  Development record and roadmap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MOSt Development Record and Prescription Centre Plan</dc:title>
  <dc:subject>Current release status and recommended prescription workflow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