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MOSt V16.14 Development Record and Next-Step Plan</w:t>
      </w:r>
    </w:p>
    <w:p>
      <w:r>
        <w:rPr>
          <w:b/>
        </w:rPr>
        <w:t>Completed work, release position, and proposed development sequence</w:t>
      </w:r>
    </w:p>
    <w:p>
      <w:r>
        <w:t>Release label V16.14   Executable version 1.7.611   September 2026</w:t>
      </w:r>
    </w:p>
    <w:p>
      <w:pPr>
        <w:pStyle w:val="Heading1"/>
      </w:pPr>
      <w:r>
        <w:t>Current release position</w:t>
      </w:r>
    </w:p>
    <w:p>
      <w:r>
        <w:t>V16.14 is the current workstation test release. The Windows Server 2008 installation and its shared database are intentionally left unchanged while Windows XP and Windows 10 or 11 workstations are validated. All tests should begin on a complete copied dataset, followed by a limited workstation pilot before any production rollout.</w:t>
      </w:r>
    </w:p>
    <w:p>
      <w:pPr>
        <w:pStyle w:val="Heading1"/>
      </w:pPr>
      <w:r>
        <w:t>Work completed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Area</w:t>
            </w:r>
          </w:p>
        </w:tc>
        <w:tc>
          <w:tcPr>
            <w:tcW w:type="dxa" w:w="3360"/>
            <w:shd w:fill="1F4E78"/>
          </w:tcPr>
          <w:p>
            <w:r>
              <w:rPr>
                <w:b/>
                <w:color w:val="FFFFFF"/>
              </w:rPr>
              <w:t>Change</w:t>
            </w:r>
          </w:p>
        </w:tc>
        <w:tc>
          <w:tcPr>
            <w:tcW w:type="dxa" w:w="3360"/>
            <w:shd w:fill="1F4E78"/>
          </w:tcPr>
          <w:p>
            <w:r>
              <w:rPr>
                <w:b/>
                <w:color w:val="FFFFFF"/>
              </w:rPr>
              <w:t>Current result</w:t>
            </w:r>
          </w:p>
        </w:tc>
      </w:tr>
      <w:tr>
        <w:tc>
          <w:tcPr>
            <w:tcW w:type="dxa" w:w="1728"/>
            <w:vAlign w:val="center"/>
          </w:tcPr>
          <w:p>
            <w:r>
              <w:t>Scheduler</w:t>
            </w:r>
          </w:p>
        </w:tc>
        <w:tc>
          <w:tcPr>
            <w:tcW w:type="dxa" w:w="5184"/>
            <w:vAlign w:val="center"/>
          </w:tcPr>
          <w:p>
            <w:r>
              <w:t>Repaired legacy OLE/component handling and scheduler close/edit behavior; reviewed schedule setup functions.</w:t>
            </w:r>
          </w:p>
        </w:tc>
        <w:tc>
          <w:tcPr>
            <w:tcW w:type="dxa" w:w="3024"/>
            <w:vAlign w:val="center"/>
          </w:tcPr>
          <w:p>
            <w:r>
              <w:t>Scheduler opens, displays, edits, saves, and closes in testing.</w:t>
            </w:r>
          </w:p>
        </w:tc>
      </w:tr>
      <w:tr>
        <w:tc>
          <w:tcPr>
            <w:tcW w:type="dxa" w:w="1728"/>
            <w:vAlign w:val="center"/>
            <w:shd w:fill="EAF2F8"/>
          </w:tcPr>
          <w:p>
            <w:r>
              <w:t>Security/expiry</w:t>
            </w:r>
          </w:p>
        </w:tc>
        <w:tc>
          <w:tcPr>
            <w:tcW w:type="dxa" w:w="5184"/>
            <w:vAlign w:val="center"/>
            <w:shd w:fill="EAF2F8"/>
          </w:tcPr>
          <w:p>
            <w:r>
              <w:t>Removed the application expiry restriction and aligned Help/About wording.</w:t>
            </w:r>
          </w:p>
        </w:tc>
        <w:tc>
          <w:tcPr>
            <w:tcW w:type="dxa" w:w="3024"/>
            <w:vAlign w:val="center"/>
            <w:shd w:fill="EAF2F8"/>
          </w:tcPr>
          <w:p>
            <w:r>
              <w:t>No planned expiry date in V16.14.</w:t>
            </w:r>
          </w:p>
        </w:tc>
      </w:tr>
      <w:tr>
        <w:tc>
          <w:tcPr>
            <w:tcW w:type="dxa" w:w="1728"/>
            <w:vAlign w:val="center"/>
          </w:tcPr>
          <w:p>
            <w:r>
              <w:t>OHIP fees</w:t>
            </w:r>
          </w:p>
        </w:tc>
        <w:tc>
          <w:tcPr>
            <w:tcW w:type="dxa" w:w="5184"/>
            <w:vAlign w:val="center"/>
          </w:tcPr>
          <w:p>
            <w:r>
              <w:t>Reworked the Ministry fee update to synchronize existing rows, add missing codes safely, avoid long tag/index failures, and show the active database values.</w:t>
            </w:r>
          </w:p>
        </w:tc>
        <w:tc>
          <w:tcPr>
            <w:tcW w:type="dxa" w:w="3024"/>
            <w:vAlign w:val="center"/>
          </w:tcPr>
          <w:p>
            <w:r>
              <w:t>2026 master processes 7,523 records; server fee table and Fee Codes display are synchronized.</w:t>
            </w:r>
          </w:p>
        </w:tc>
      </w:tr>
      <w:tr>
        <w:tc>
          <w:tcPr>
            <w:tcW w:type="dxa" w:w="1728"/>
            <w:vAlign w:val="center"/>
            <w:shd w:fill="EAF2F8"/>
          </w:tcPr>
          <w:p>
            <w:r>
              <w:t>Fee form</w:t>
            </w:r>
          </w:p>
        </w:tc>
        <w:tc>
          <w:tcPr>
            <w:tcW w:type="dxa" w:w="5184"/>
            <w:vAlign w:val="center"/>
            <w:shd w:fill="EAF2F8"/>
          </w:tcPr>
          <w:p>
            <w:r>
              <w:t>Corrected stale/local table display and duplicate database-path windows.</w:t>
            </w:r>
          </w:p>
        </w:tc>
        <w:tc>
          <w:tcPr>
            <w:tcW w:type="dxa" w:w="3024"/>
            <w:vAlign w:val="center"/>
            <w:shd w:fill="EAF2F8"/>
          </w:tcPr>
          <w:p>
            <w:r>
              <w:t>Fee Codes reads the configured shared database; test values include K002 80.00 and E185 GP 525.15.</w:t>
            </w:r>
          </w:p>
        </w:tc>
      </w:tr>
      <w:tr>
        <w:tc>
          <w:tcPr>
            <w:tcW w:type="dxa" w:w="1728"/>
            <w:vAlign w:val="center"/>
          </w:tcPr>
          <w:p>
            <w:r>
              <w:t>EDT paths</w:t>
            </w:r>
          </w:p>
        </w:tc>
        <w:tc>
          <w:tcPr>
            <w:tcW w:type="dxa" w:w="5184"/>
            <w:vAlign w:val="center"/>
          </w:tcPr>
          <w:p>
            <w:r>
              <w:t>Directed EDT IN, EDT OUT, and recreated submission output to the server folders.</w:t>
            </w:r>
          </w:p>
        </w:tc>
        <w:tc>
          <w:tcPr>
            <w:tcW w:type="dxa" w:w="3024"/>
            <w:vAlign w:val="center"/>
          </w:tcPr>
          <w:p>
            <w:r>
              <w:t>Recreated submissions are available where the server sends them.</w:t>
            </w:r>
          </w:p>
        </w:tc>
      </w:tr>
      <w:tr>
        <w:tc>
          <w:tcPr>
            <w:tcW w:type="dxa" w:w="1728"/>
            <w:vAlign w:val="center"/>
            <w:shd w:fill="EAF2F8"/>
          </w:tcPr>
          <w:p>
            <w:r>
              <w:t>Installation role</w:t>
            </w:r>
          </w:p>
        </w:tc>
        <w:tc>
          <w:tcPr>
            <w:tcW w:type="dxa" w:w="5184"/>
            <w:vAlign w:val="center"/>
            <w:shd w:fill="EAF2F8"/>
          </w:tcPr>
          <w:p>
            <w:r>
              <w:t>Added Server/Workstation identification and workstation-only installers.</w:t>
            </w:r>
          </w:p>
        </w:tc>
        <w:tc>
          <w:tcPr>
            <w:tcW w:type="dxa" w:w="3024"/>
            <w:vAlign w:val="center"/>
            <w:shd w:fill="EAF2F8"/>
          </w:tcPr>
          <w:p>
            <w:r>
              <w:t>Pilot workstations are marked WORKSTATION; Server 2008 is untouched.</w:t>
            </w:r>
          </w:p>
        </w:tc>
      </w:tr>
      <w:tr>
        <w:tc>
          <w:tcPr>
            <w:tcW w:type="dxa" w:w="1728"/>
            <w:vAlign w:val="center"/>
          </w:tcPr>
          <w:p>
            <w:r>
              <w:t>Packaging</w:t>
            </w:r>
          </w:p>
        </w:tc>
        <w:tc>
          <w:tcPr>
            <w:tcW w:type="dxa" w:w="5184"/>
            <w:vAlign w:val="center"/>
          </w:tcPr>
          <w:p>
            <w:r>
              <w:t>Prepared separate labelled upgrade packages and guides for XP and Windows 10/11.</w:t>
            </w:r>
          </w:p>
        </w:tc>
        <w:tc>
          <w:tcPr>
            <w:tcW w:type="dxa" w:w="3024"/>
            <w:vAlign w:val="center"/>
          </w:tcPr>
          <w:p>
            <w:r>
              <w:t>V16.14 workstation pilot package with rollback and checksums.</w:t>
            </w:r>
          </w:p>
        </w:tc>
      </w:tr>
    </w:tbl>
    <w:p>
      <w:pPr>
        <w:pStyle w:val="Heading1"/>
      </w:pPr>
      <w:r>
        <w:t>Immediate rollout plan</w:t>
      </w:r>
    </w:p>
    <w:p>
      <w:pPr>
        <w:pStyle w:val="ListBullet"/>
      </w:pPr>
      <w:r>
        <w:t>Preserve the current Windows Server 2008 application and database exactly as they are.</w:t>
      </w:r>
    </w:p>
    <w:p>
      <w:pPr>
        <w:pStyle w:val="ListBullet"/>
      </w:pPr>
      <w:r>
        <w:t>Validate one Windows XP workstation and one Windows 10 or 11 workstation against a complete copied dataset.</w:t>
      </w:r>
    </w:p>
    <w:p>
      <w:pPr>
        <w:pStyle w:val="ListBullet"/>
      </w:pPr>
      <w:r>
        <w:t>Run the supplied pre-live checklist, record every failure, and repeat failed tests after correction.</w:t>
      </w:r>
    </w:p>
    <w:p>
      <w:pPr>
        <w:pStyle w:val="ListBullet"/>
      </w:pPr>
      <w:r>
        <w:t>Pilot one workstation against production only after backup, clinical, billing, and technical sign-off.</w:t>
      </w:r>
    </w:p>
    <w:p>
      <w:pPr>
        <w:pStyle w:val="ListBullet"/>
      </w:pPr>
      <w:r>
        <w:t>Keep the previous MOST.exe available for rapid workstation rollback; do not roll back or alter shared data without a separate recovery decision.</w:t>
      </w:r>
    </w:p>
    <w:p>
      <w:pPr>
        <w:pStyle w:val="Heading1"/>
      </w:pPr>
      <w:r>
        <w:t>Proposed next development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color w:val="FFFFFF"/>
              </w:rPr>
              <w:t>Priority</w:t>
            </w:r>
          </w:p>
        </w:tc>
        <w:tc>
          <w:tcPr>
            <w:tcW w:type="dxa" w:w="2520"/>
            <w:shd w:fill="1F4E78"/>
          </w:tcPr>
          <w:p>
            <w:r>
              <w:rPr>
                <w:b/>
                <w:color w:val="FFFFFF"/>
              </w:rPr>
              <w:t>Workstream</w:t>
            </w:r>
          </w:p>
        </w:tc>
        <w:tc>
          <w:tcPr>
            <w:tcW w:type="dxa" w:w="2520"/>
            <w:shd w:fill="1F4E78"/>
          </w:tcPr>
          <w:p>
            <w:r>
              <w:rPr>
                <w:b/>
                <w:color w:val="FFFFFF"/>
              </w:rPr>
              <w:t>Proposed outcome</w:t>
            </w:r>
          </w:p>
        </w:tc>
        <w:tc>
          <w:tcPr>
            <w:tcW w:type="dxa" w:w="2520"/>
            <w:shd w:fill="1F4E78"/>
          </w:tcPr>
          <w:p>
            <w:r>
              <w:rPr>
                <w:b/>
                <w:color w:val="FFFFFF"/>
              </w:rPr>
              <w:t>Acceptance evidence</w:t>
            </w:r>
          </w:p>
        </w:tc>
      </w:tr>
      <w:tr>
        <w:tc>
          <w:tcPr>
            <w:tcW w:type="dxa" w:w="792"/>
            <w:vAlign w:val="center"/>
          </w:tcPr>
          <w:p>
            <w:r>
              <w:t>1</w:t>
            </w:r>
          </w:p>
        </w:tc>
        <w:tc>
          <w:tcPr>
            <w:tcW w:type="dxa" w:w="1800"/>
            <w:vAlign w:val="center"/>
          </w:tcPr>
          <w:p>
            <w:r>
              <w:t>Modify Labels</w:t>
            </w:r>
          </w:p>
        </w:tc>
        <w:tc>
          <w:tcPr>
            <w:tcW w:type="dxa" w:w="5544"/>
            <w:vAlign w:val="center"/>
          </w:tcPr>
          <w:p>
            <w:r>
              <w:t>Repair the Modify Labels function so existing label layouts can be opened, changed, saved, and used without freezing, read-only behavior, missing controls, or damage to shared label data.</w:t>
            </w:r>
          </w:p>
        </w:tc>
        <w:tc>
          <w:tcPr>
            <w:tcW w:type="dxa" w:w="3024"/>
            <w:vAlign w:val="center"/>
          </w:tcPr>
          <w:p>
            <w:r>
              <w:t>Change label text, field selection, font, spacing, and position; save and reopen the layout; preview and print representative patient and mailing labels; confirm the result from XP and Windows 10 or 11 workstations.</w:t>
            </w:r>
          </w:p>
        </w:tc>
      </w:tr>
      <w:tr>
        <w:tc>
          <w:tcPr>
            <w:tcW w:type="dxa" w:w="792"/>
            <w:vAlign w:val="center"/>
            <w:shd w:fill="EAF2F8"/>
          </w:tcPr>
          <w:p>
            <w:r>
              <w:t>2</w:t>
            </w:r>
          </w:p>
        </w:tc>
        <w:tc>
          <w:tcPr>
            <w:tcW w:type="dxa" w:w="1800"/>
            <w:vAlign w:val="center"/>
            <w:shd w:fill="EAF2F8"/>
          </w:tcPr>
          <w:p>
            <w:r>
              <w:t>Medication prescriptions</w:t>
            </w:r>
          </w:p>
        </w:tc>
        <w:tc>
          <w:tcPr>
            <w:tcW w:type="dxa" w:w="5544"/>
            <w:vAlign w:val="center"/>
            <w:shd w:fill="EAF2F8"/>
          </w:tcPr>
          <w:p>
            <w:r>
              <w:t>Structured prescription entry with medication, strength, route, directions, quantity, repeats, dates, prescriber, status, and printable/PDF output. Preserve an immutable issued copy and support discontinue/reissue instead of overwriting.</w:t>
            </w:r>
          </w:p>
        </w:tc>
        <w:tc>
          <w:tcPr>
            <w:tcW w:type="dxa" w:w="3024"/>
            <w:vAlign w:val="center"/>
            <w:shd w:fill="EAF2F8"/>
          </w:tcPr>
          <w:p>
            <w:r>
              <w:t>Create, preview, print/PDF, reissue, discontinue, and retrieve a test prescription; required-field and interaction-warning behavior agreed by clinicians.</w:t>
            </w:r>
          </w:p>
        </w:tc>
      </w:tr>
      <w:tr>
        <w:tc>
          <w:tcPr>
            <w:tcW w:type="dxa" w:w="792"/>
            <w:vAlign w:val="center"/>
          </w:tcPr>
          <w:p>
            <w:r>
              <w:t>3</w:t>
            </w:r>
          </w:p>
        </w:tc>
        <w:tc>
          <w:tcPr>
            <w:tcW w:type="dxa" w:w="1800"/>
            <w:vAlign w:val="center"/>
          </w:tcPr>
          <w:p>
            <w:r>
              <w:t>Eyeglass prescriptions</w:t>
            </w:r>
          </w:p>
        </w:tc>
        <w:tc>
          <w:tcPr>
            <w:tcW w:type="dxa" w:w="5544"/>
            <w:vAlign w:val="center"/>
          </w:tcPr>
          <w:p>
            <w:r>
              <w:t>Dedicated optical prescription form for OD/OS sphere, cylinder, axis, prism/base, add, pupillary distance, expiry/review date, notes, prescriber, and printable/PDF output.</w:t>
            </w:r>
          </w:p>
        </w:tc>
        <w:tc>
          <w:tcPr>
            <w:tcW w:type="dxa" w:w="3024"/>
            <w:vAlign w:val="center"/>
          </w:tcPr>
          <w:p>
            <w:r>
              <w:t>Validated sample prescriptions, correct sign convention and formatting, patient/prescriber identity, and past optical prescription retrieval.</w:t>
            </w:r>
          </w:p>
        </w:tc>
      </w:tr>
      <w:tr>
        <w:tc>
          <w:tcPr>
            <w:tcW w:type="dxa" w:w="792"/>
            <w:vAlign w:val="center"/>
            <w:shd w:fill="EAF2F8"/>
          </w:tcPr>
          <w:p>
            <w:r>
              <w:t>4</w:t>
            </w:r>
          </w:p>
        </w:tc>
        <w:tc>
          <w:tcPr>
            <w:tcW w:type="dxa" w:w="1800"/>
            <w:vAlign w:val="center"/>
            <w:shd w:fill="EAF2F8"/>
          </w:tcPr>
          <w:p>
            <w:r>
              <w:t>Past prescription view</w:t>
            </w:r>
          </w:p>
        </w:tc>
        <w:tc>
          <w:tcPr>
            <w:tcW w:type="dxa" w:w="5544"/>
            <w:vAlign w:val="center"/>
            <w:shd w:fill="EAF2F8"/>
          </w:tcPr>
          <w:p>
            <w:r>
              <w:t>A patient-level Prescription History tab combining medication and optical items. Default newest-first with filters for type, date, prescriber, active/discontinued, and a View/Print/Reissue action. Never mix draft and issued versions without a clear status.</w:t>
            </w:r>
          </w:p>
        </w:tc>
        <w:tc>
          <w:tcPr>
            <w:tcW w:type="dxa" w:w="3024"/>
            <w:vAlign w:val="center"/>
            <w:shd w:fill="EAF2F8"/>
          </w:tcPr>
          <w:p>
            <w:r>
              <w:t>Find a past item in three clicks or fewer; display original issued content, status, related reissue, and audit history.</w:t>
            </w:r>
          </w:p>
        </w:tc>
      </w:tr>
      <w:tr>
        <w:tc>
          <w:tcPr>
            <w:tcW w:type="dxa" w:w="792"/>
            <w:vAlign w:val="center"/>
          </w:tcPr>
          <w:p>
            <w:r>
              <w:t>5</w:t>
            </w:r>
          </w:p>
        </w:tc>
        <w:tc>
          <w:tcPr>
            <w:tcW w:type="dxa" w:w="1800"/>
            <w:vAlign w:val="center"/>
          </w:tcPr>
          <w:p>
            <w:r>
              <w:t>Document change tracking</w:t>
            </w:r>
          </w:p>
        </w:tc>
        <w:tc>
          <w:tcPr>
            <w:tcW w:type="dxa" w:w="5544"/>
            <w:vAlign w:val="center"/>
          </w:tcPr>
          <w:p>
            <w:r>
              <w:t>Append-only audit log for create, edit, print, export, void, reissue, and delete attempts. Record patient/document ID, version, user, workstation, date/time, action, reason, and before/after field changes. Restrict audit viewing by role and make normal users unable to edit it.</w:t>
            </w:r>
          </w:p>
        </w:tc>
        <w:tc>
          <w:tcPr>
            <w:tcW w:type="dxa" w:w="3024"/>
            <w:vAlign w:val="center"/>
          </w:tcPr>
          <w:p>
            <w:r>
              <w:t>Demonstrate complete history, reason capture, role restrictions, clock/user accuracy, backup inclusion, and an audit export for review.</w:t>
            </w:r>
          </w:p>
        </w:tc>
      </w:tr>
      <w:tr>
        <w:tc>
          <w:tcPr>
            <w:tcW w:type="dxa" w:w="792"/>
            <w:vAlign w:val="center"/>
            <w:shd w:fill="EAF2F8"/>
          </w:tcPr>
          <w:p>
            <w:r>
              <w:t>6</w:t>
            </w:r>
          </w:p>
        </w:tc>
        <w:tc>
          <w:tcPr>
            <w:tcW w:type="dxa" w:w="1800"/>
            <w:vAlign w:val="center"/>
            <w:shd w:fill="EAF2F8"/>
          </w:tcPr>
          <w:p>
            <w:r>
              <w:t>EDT Ministry exchange</w:t>
            </w:r>
          </w:p>
        </w:tc>
        <w:tc>
          <w:tcPr>
            <w:tcW w:type="dxa" w:w="5544"/>
            <w:vAlign w:val="center"/>
            <w:shd w:fill="EAF2F8"/>
          </w:tcPr>
          <w:p>
            <w:r>
              <w:t>Server-only EDT console with the existing 'Are you on the server?' guard, credential handling that does not store plain-text passwords, upload/download status, duplicate prevention, archive folders, reconciliation, and clear retry/error reporting.</w:t>
            </w:r>
          </w:p>
        </w:tc>
        <w:tc>
          <w:tcPr>
            <w:tcW w:type="dxa" w:w="3024"/>
            <w:vAlign w:val="center"/>
            <w:shd w:fill="EAF2F8"/>
          </w:tcPr>
          <w:p>
            <w:r>
              <w:t>Test upload, acknowledgement, download, duplicate rejection, interrupted transfer recovery, reconciliation, permissions, and server IN/OUT placement using Ministry-approved test data.</w:t>
            </w:r>
          </w:p>
        </w:tc>
      </w:tr>
      <w:tr>
        <w:tc>
          <w:tcPr>
            <w:tcW w:type="dxa" w:w="792"/>
            <w:vAlign w:val="center"/>
          </w:tcPr>
          <w:p>
            <w:r>
              <w:t>7</w:t>
            </w:r>
          </w:p>
        </w:tc>
        <w:tc>
          <w:tcPr>
            <w:tcW w:type="dxa" w:w="1800"/>
            <w:vAlign w:val="center"/>
          </w:tcPr>
          <w:p>
            <w:r>
              <w:t>Further updates</w:t>
            </w:r>
          </w:p>
        </w:tc>
        <w:tc>
          <w:tcPr>
            <w:tcW w:type="dxa" w:w="5544"/>
            <w:vAlign w:val="center"/>
          </w:tcPr>
          <w:p>
            <w:r>
              <w:t>Review defects and requests discovered during the pilot, prioritize by patient safety, billing accuracy, data integrity, and workflow impact, then label the next incremental test release.</w:t>
            </w:r>
          </w:p>
        </w:tc>
        <w:tc>
          <w:tcPr>
            <w:tcW w:type="dxa" w:w="3024"/>
            <w:vAlign w:val="center"/>
          </w:tcPr>
          <w:p>
            <w:r>
              <w:t>Approved backlog, release notes, repeatable regression tests, and a signed deployment decision.</w:t>
            </w:r>
          </w:p>
        </w:tc>
      </w:tr>
    </w:tbl>
    <w:p>
      <w:pPr>
        <w:pStyle w:val="Heading1"/>
      </w:pPr>
      <w:r>
        <w:t>Design decisions to confirm before prescription coding</w:t>
      </w:r>
    </w:p>
    <w:p>
      <w:pPr>
        <w:pStyle w:val="ListBullet"/>
      </w:pPr>
      <w:r>
        <w:t>Who may create, sign, correct, void, and reissue each prescription type, including delegates and locums.</w:t>
      </w:r>
    </w:p>
    <w:p>
      <w:pPr>
        <w:pStyle w:val="ListBullet"/>
      </w:pPr>
      <w:r>
        <w:t>Whether medication data is selected from an existing drug catalogue, entered as free text, or both; how allergies and interaction warnings are presented and acknowledged.</w:t>
      </w:r>
    </w:p>
    <w:p>
      <w:pPr>
        <w:pStyle w:val="ListBullet"/>
      </w:pPr>
      <w:r>
        <w:t>The legal/clinical retention period, signature method, printed wording, and whether an issued prescription may ever be edited directly.</w:t>
      </w:r>
    </w:p>
    <w:p>
      <w:pPr>
        <w:pStyle w:val="ListBullet"/>
      </w:pPr>
      <w:r>
        <w:t>The exact optical fields, notation, expiry rules, and whether contact-lens prescriptions are a separate form.</w:t>
      </w:r>
    </w:p>
    <w:p>
      <w:pPr>
        <w:pStyle w:val="ListBullet"/>
      </w:pPr>
      <w:r>
        <w:t>Which historical documents already exist in DBF/memo/PDF/Word files and how they should appear in one patient timeline without changing their original content.</w:t>
      </w:r>
    </w:p>
    <w:p>
      <w:pPr>
        <w:pStyle w:val="Heading1"/>
      </w:pPr>
      <w:r>
        <w:t>Security and data-integrity approach</w:t>
      </w:r>
    </w:p>
    <w:p>
      <w:r>
        <w:t>Treat prescription and billing records as versioned clinical documents. An issued document should remain readable in its original form; later corrections should create a linked replacement or status change. Audit events should be written in the same protected server backup scope as the clinical data, with least-privilege access, reliable workstation/user identification, and periodic review. Before implementation, confirm applicable Ontario privacy, professional-college, Ministry, and organizational requirements with the responsible privacy and clinical leads.</w:t>
      </w:r>
    </w:p>
    <w:p>
      <w:pPr>
        <w:pStyle w:val="Heading1"/>
      </w:pPr>
      <w:r>
        <w:t>Definition of ready for the next release</w:t>
      </w:r>
    </w:p>
    <w:p>
      <w:pPr>
        <w:pStyle w:val="ListBullet"/>
      </w:pPr>
      <w:r>
        <w:t>Requirements and screen mock-ups approved by clinical and billing users.</w:t>
      </w:r>
    </w:p>
    <w:p>
      <w:pPr>
        <w:pStyle w:val="ListBullet"/>
      </w:pPr>
      <w:r>
        <w:t>Database changes documented, backed up, and proven compatible with both existing XP and modern workstation builds during the transition.</w:t>
      </w:r>
    </w:p>
    <w:p>
      <w:pPr>
        <w:pStyle w:val="ListBullet"/>
      </w:pPr>
      <w:r>
        <w:t>Automated or repeatable regression tests cover patients, scheduler, fee codes, billing, EDT, Word/PDF, printing, and prescriptions.</w:t>
      </w:r>
    </w:p>
    <w:p>
      <w:pPr>
        <w:pStyle w:val="ListBullet"/>
      </w:pPr>
      <w:r>
        <w:t>A numbered test build, checksums, release notes, rollback procedure, and signed pre-live checklist are available.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MOSt V16.14  Development record and roadmap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