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60"/>
        <w:jc w:val="center"/>
      </w:pPr>
      <w:r>
        <w:rPr>
          <w:rFonts w:ascii="Calibri" w:cs="Calibri" w:eastAsia="Calibri" w:hAnsi="Calibri"/>
          <w:b/>
          <w:bCs/>
          <w:color w:val="2E8B8B"/>
          <w:sz w:val="72"/>
          <w:szCs w:val="72"/>
        </w:rPr>
        <w:t xml:space="preserve">LUMINA MART</w:t>
      </w:r>
    </w:p>
    <w:p>
      <w:pPr>
        <w:spacing w:after="120"/>
        <w:jc w:val="center"/>
      </w:pPr>
      <w:r>
        <w:rPr>
          <w:rFonts w:ascii="Calibri" w:cs="Calibri" w:eastAsia="Calibri" w:hAnsi="Calibri"/>
          <w:b/>
          <w:bCs/>
          <w:color w:val="D4A017"/>
          <w:sz w:val="44"/>
          <w:szCs w:val="44"/>
        </w:rPr>
        <w:t xml:space="preserve">Dairy Intelligence Dashboard</w:t>
      </w:r>
    </w:p>
    <w:p>
      <w:pPr>
        <w:spacing w:after="60"/>
        <w:jc w:val="center"/>
      </w:pPr>
      <w:r>
        <w:rPr>
          <w:rFonts w:ascii="Calibri" w:cs="Calibri" w:eastAsia="Calibri" w:hAnsi="Calibri"/>
          <w:i/>
          <w:iCs/>
          <w:color w:val="666666"/>
          <w:sz w:val="26"/>
          <w:szCs w:val="26"/>
        </w:rPr>
        <w:t xml:space="preserve">Fresh Insights, Better Decisions</w:t>
      </w:r>
    </w:p>
    <w:p>
      <w:pPr>
        <w:spacing w:after="60"/>
      </w:pPr>
    </w:p>
    <w:p>
      <w:pPr>
        <w:pBdr>
          <w:bottom w:val="single" w:color="D4A017" w:sz="8" w:space="4"/>
        </w:pBdr>
        <w:spacing w:after="240"/>
        <w:jc w:val="center"/>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5F7FA" w:val="clear"/>
            <w:tcMar>
              <w:top w:type="dxa" w:w="120"/>
              <w:left w:type="dxa" w:w="140"/>
              <w:bottom w:type="dxa" w:w="120"/>
              <w:right w:type="dxa" w:w="140"/>
            </w:tcMar>
            <w:vAlign w:val="center"/>
          </w:tcPr>
          <w:p>
            <w:pPr>
              <w:spacing w:after="40"/>
              <w:jc w:val="center"/>
            </w:pPr>
            <w:r>
              <w:rPr>
                <w:rFonts w:ascii="Calibri" w:cs="Calibri" w:eastAsia="Calibri" w:hAnsi="Calibri"/>
                <w:b/>
                <w:bCs/>
                <w:color w:val="2E8B8B"/>
                <w:sz w:val="36"/>
                <w:szCs w:val="36"/>
              </w:rPr>
              <w:t xml:space="preserve">108M EGP</w:t>
            </w:r>
          </w:p>
          <w:p>
            <w:pPr>
              <w:jc w:val="center"/>
            </w:pPr>
            <w:r>
              <w:rPr>
                <w:rFonts w:ascii="Calibri" w:cs="Calibri" w:eastAsia="Calibri" w:hAnsi="Calibri"/>
                <w:color w:val="555555"/>
                <w:sz w:val="18"/>
                <w:szCs w:val="18"/>
              </w:rPr>
              <w:t xml:space="preserve">Net Sales</w:t>
            </w:r>
          </w:p>
        </w:tc>
        <w:tc>
          <w:tcPr>
            <w:tcW w:type="dxa" w:w="1872"/>
            <w:tcBorders>
              <w:top w:val="none" w:color="FFFFFF" w:sz="0"/>
              <w:left w:val="none" w:color="FFFFFF" w:sz="0"/>
              <w:bottom w:val="none" w:color="FFFFFF" w:sz="0"/>
              <w:right w:val="none" w:color="FFFFFF" w:sz="0"/>
            </w:tcBorders>
            <w:shd w:fill="F5F7FA" w:val="clear"/>
            <w:tcMar>
              <w:top w:type="dxa" w:w="120"/>
              <w:left w:type="dxa" w:w="140"/>
              <w:bottom w:type="dxa" w:w="120"/>
              <w:right w:type="dxa" w:w="140"/>
            </w:tcMar>
            <w:vAlign w:val="center"/>
          </w:tcPr>
          <w:p>
            <w:pPr>
              <w:spacing w:after="40"/>
              <w:jc w:val="center"/>
            </w:pPr>
            <w:r>
              <w:rPr>
                <w:rFonts w:ascii="Calibri" w:cs="Calibri" w:eastAsia="Calibri" w:hAnsi="Calibri"/>
                <w:b/>
                <w:bCs/>
                <w:color w:val="2E8B8B"/>
                <w:sz w:val="36"/>
                <w:szCs w:val="36"/>
              </w:rPr>
              <w:t xml:space="preserve">26M EGP</w:t>
            </w:r>
          </w:p>
          <w:p>
            <w:pPr>
              <w:jc w:val="center"/>
            </w:pPr>
            <w:r>
              <w:rPr>
                <w:rFonts w:ascii="Calibri" w:cs="Calibri" w:eastAsia="Calibri" w:hAnsi="Calibri"/>
                <w:color w:val="555555"/>
                <w:sz w:val="18"/>
                <w:szCs w:val="18"/>
              </w:rPr>
              <w:t xml:space="preserve">Total Profit</w:t>
            </w:r>
          </w:p>
        </w:tc>
        <w:tc>
          <w:tcPr>
            <w:tcW w:type="dxa" w:w="1872"/>
            <w:tcBorders>
              <w:top w:val="none" w:color="FFFFFF" w:sz="0"/>
              <w:left w:val="none" w:color="FFFFFF" w:sz="0"/>
              <w:bottom w:val="none" w:color="FFFFFF" w:sz="0"/>
              <w:right w:val="none" w:color="FFFFFF" w:sz="0"/>
            </w:tcBorders>
            <w:shd w:fill="F5F7FA" w:val="clear"/>
            <w:tcMar>
              <w:top w:type="dxa" w:w="120"/>
              <w:left w:type="dxa" w:w="140"/>
              <w:bottom w:type="dxa" w:w="120"/>
              <w:right w:type="dxa" w:w="140"/>
            </w:tcMar>
            <w:vAlign w:val="center"/>
          </w:tcPr>
          <w:p>
            <w:pPr>
              <w:spacing w:after="40"/>
              <w:jc w:val="center"/>
            </w:pPr>
            <w:r>
              <w:rPr>
                <w:rFonts w:ascii="Calibri" w:cs="Calibri" w:eastAsia="Calibri" w:hAnsi="Calibri"/>
                <w:b/>
                <w:bCs/>
                <w:color w:val="2E8B8B"/>
                <w:sz w:val="36"/>
                <w:szCs w:val="36"/>
              </w:rPr>
              <w:t xml:space="preserve">22%</w:t>
            </w:r>
          </w:p>
          <w:p>
            <w:pPr>
              <w:jc w:val="center"/>
            </w:pPr>
            <w:r>
              <w:rPr>
                <w:rFonts w:ascii="Calibri" w:cs="Calibri" w:eastAsia="Calibri" w:hAnsi="Calibri"/>
                <w:color w:val="555555"/>
                <w:sz w:val="18"/>
                <w:szCs w:val="18"/>
              </w:rPr>
              <w:t xml:space="preserve">Profit Margin</w:t>
            </w:r>
          </w:p>
        </w:tc>
        <w:tc>
          <w:tcPr>
            <w:tcW w:type="dxa" w:w="1872"/>
            <w:tcBorders>
              <w:top w:val="none" w:color="FFFFFF" w:sz="0"/>
              <w:left w:val="none" w:color="FFFFFF" w:sz="0"/>
              <w:bottom w:val="none" w:color="FFFFFF" w:sz="0"/>
              <w:right w:val="none" w:color="FFFFFF" w:sz="0"/>
            </w:tcBorders>
            <w:shd w:fill="F5F7FA" w:val="clear"/>
            <w:tcMar>
              <w:top w:type="dxa" w:w="120"/>
              <w:left w:type="dxa" w:w="140"/>
              <w:bottom w:type="dxa" w:w="120"/>
              <w:right w:type="dxa" w:w="140"/>
            </w:tcMar>
            <w:vAlign w:val="center"/>
          </w:tcPr>
          <w:p>
            <w:pPr>
              <w:spacing w:after="40"/>
              <w:jc w:val="center"/>
            </w:pPr>
            <w:r>
              <w:rPr>
                <w:rFonts w:ascii="Calibri" w:cs="Calibri" w:eastAsia="Calibri" w:hAnsi="Calibri"/>
                <w:b/>
                <w:bCs/>
                <w:color w:val="2E8B8B"/>
                <w:sz w:val="36"/>
                <w:szCs w:val="36"/>
              </w:rPr>
              <w:t xml:space="preserve">50.15%</w:t>
            </w:r>
          </w:p>
          <w:p>
            <w:pPr>
              <w:jc w:val="center"/>
            </w:pPr>
            <w:r>
              <w:rPr>
                <w:rFonts w:ascii="Calibri" w:cs="Calibri" w:eastAsia="Calibri" w:hAnsi="Calibri"/>
                <w:color w:val="555555"/>
                <w:sz w:val="18"/>
                <w:szCs w:val="18"/>
              </w:rPr>
              <w:t xml:space="preserve">YoY Growth</w:t>
            </w:r>
          </w:p>
        </w:tc>
        <w:tc>
          <w:tcPr>
            <w:tcW w:type="dxa" w:w="1872"/>
            <w:tcBorders>
              <w:top w:val="none" w:color="FFFFFF" w:sz="0"/>
              <w:left w:val="none" w:color="FFFFFF" w:sz="0"/>
              <w:bottom w:val="none" w:color="FFFFFF" w:sz="0"/>
              <w:right w:val="none" w:color="FFFFFF" w:sz="0"/>
            </w:tcBorders>
            <w:shd w:fill="F5F7FA" w:val="clear"/>
            <w:tcMar>
              <w:top w:type="dxa" w:w="120"/>
              <w:left w:type="dxa" w:w="140"/>
              <w:bottom w:type="dxa" w:w="120"/>
              <w:right w:type="dxa" w:w="140"/>
            </w:tcMar>
            <w:vAlign w:val="center"/>
          </w:tcPr>
          <w:p>
            <w:pPr>
              <w:spacing w:after="40"/>
              <w:jc w:val="center"/>
            </w:pPr>
            <w:r>
              <w:rPr>
                <w:rFonts w:ascii="Calibri" w:cs="Calibri" w:eastAsia="Calibri" w:hAnsi="Calibri"/>
                <w:b/>
                <w:bCs/>
                <w:color w:val="2E8B8B"/>
                <w:sz w:val="36"/>
                <w:szCs w:val="36"/>
              </w:rPr>
              <w:t xml:space="preserve">0.36%</w:t>
            </w:r>
          </w:p>
          <w:p>
            <w:pPr>
              <w:jc w:val="center"/>
            </w:pPr>
            <w:r>
              <w:rPr>
                <w:rFonts w:ascii="Calibri" w:cs="Calibri" w:eastAsia="Calibri" w:hAnsi="Calibri"/>
                <w:color w:val="555555"/>
                <w:sz w:val="18"/>
                <w:szCs w:val="18"/>
              </w:rPr>
              <w:t xml:space="preserve">Return Rate</w:t>
            </w:r>
          </w:p>
        </w:tc>
      </w:tr>
    </w:tbl>
    <w:p>
      <w:pPr>
        <w:spacing w:after="200"/>
      </w:pPr>
    </w:p>
    <w:p>
      <w:pPr>
        <w:spacing w:after="80"/>
        <w:jc w:val="center"/>
      </w:pPr>
      <w:r>
        <w:rPr>
          <w:rFonts w:ascii="Calibri" w:cs="Calibri" w:eastAsia="Calibri" w:hAnsi="Calibri"/>
          <w:color w:val="888888"/>
          <w:sz w:val="20"/>
          <w:szCs w:val="20"/>
        </w:rPr>
        <w:t xml:space="preserve">Power BI  •  Business Intelligence  •  Data Analytics</w:t>
      </w:r>
    </w:p>
    <w:p>
      <w:pPr>
        <w:spacing w:after="80"/>
        <w:jc w:val="center"/>
      </w:pPr>
      <w:r>
        <w:rPr>
          <w:rFonts w:ascii="Calibri" w:cs="Calibri" w:eastAsia="Calibri" w:hAnsi="Calibri"/>
          <w:color w:val="888888"/>
          <w:sz w:val="20"/>
          <w:szCs w:val="20"/>
        </w:rPr>
        <w:t xml:space="preserve">Egyptian Dairy Market  |  DEPI – Next Academy Graduation Project  |  2026</w:t>
      </w:r>
    </w:p>
    <w:p>
      <w:pPr>
        <w:spacing w:after="120"/>
      </w:pPr>
    </w:p>
    <w:p>
      <w:r>
        <w:br w:type="page"/>
      </w:r>
    </w:p>
    <w:p>
      <w:pPr>
        <w:pStyle w:val="Heading1"/>
        <w:shd w:fill="2E8B8B" w:val="clear"/>
        <w:spacing w:after="180" w:before="360"/>
        <w:ind w:left="200" w:right="200"/>
      </w:pPr>
      <w:r>
        <w:rPr>
          <w:rFonts w:ascii="Calibri" w:cs="Calibri" w:eastAsia="Calibri" w:hAnsi="Calibri"/>
          <w:b/>
          <w:bCs/>
          <w:color w:val="FFFFFF"/>
          <w:sz w:val="36"/>
          <w:szCs w:val="36"/>
        </w:rPr>
        <w:t xml:space="preserve">1. Project Overview</w:t>
      </w:r>
    </w:p>
    <w:p>
      <w:pPr>
        <w:spacing w:after="60"/>
      </w:pPr>
    </w:p>
    <w:p>
      <w:pPr>
        <w:spacing w:after="120"/>
      </w:pPr>
      <w:r>
        <w:rPr>
          <w:rFonts w:ascii="Calibri" w:cs="Calibri" w:eastAsia="Calibri" w:hAnsi="Calibri"/>
          <w:b/>
          <w:bCs/>
          <w:color w:val="1A2E3B"/>
          <w:sz w:val="22"/>
          <w:szCs w:val="22"/>
        </w:rPr>
        <w:t xml:space="preserve">Project Name: </w:t>
      </w:r>
      <w:r>
        <w:rPr>
          <w:rFonts w:ascii="Calibri" w:cs="Calibri" w:eastAsia="Calibri" w:hAnsi="Calibri"/>
          <w:b w:val="false"/>
          <w:bCs w:val="false"/>
          <w:color w:val="1A2E3B"/>
          <w:sz w:val="20"/>
          <w:szCs w:val="20"/>
        </w:rPr>
        <w:t xml:space="preserve">LUMINA MART – Dairy Intelligence Dashboard</w:t>
      </w:r>
    </w:p>
    <w:p>
      <w:pPr>
        <w:spacing w:after="120"/>
      </w:pPr>
      <w:r>
        <w:rPr>
          <w:rFonts w:ascii="Calibri" w:cs="Calibri" w:eastAsia="Calibri" w:hAnsi="Calibri"/>
          <w:b/>
          <w:bCs/>
          <w:color w:val="1A2E3B"/>
          <w:sz w:val="22"/>
          <w:szCs w:val="22"/>
        </w:rPr>
        <w:t xml:space="preserve">Industry: </w:t>
      </w:r>
      <w:r>
        <w:rPr>
          <w:rFonts w:ascii="Calibri" w:cs="Calibri" w:eastAsia="Calibri" w:hAnsi="Calibri"/>
          <w:b w:val="false"/>
          <w:bCs w:val="false"/>
          <w:color w:val="1A2E3B"/>
          <w:sz w:val="20"/>
          <w:szCs w:val="20"/>
        </w:rPr>
        <w:t xml:space="preserve">FMCG / Egyptian Dairy Market</w:t>
      </w:r>
    </w:p>
    <w:p>
      <w:pPr>
        <w:spacing w:after="120"/>
      </w:pPr>
      <w:r>
        <w:rPr>
          <w:rFonts w:ascii="Calibri" w:cs="Calibri" w:eastAsia="Calibri" w:hAnsi="Calibri"/>
          <w:b/>
          <w:bCs/>
          <w:color w:val="1A2E3B"/>
          <w:sz w:val="22"/>
          <w:szCs w:val="22"/>
        </w:rPr>
        <w:t xml:space="preserve">Tool: </w:t>
      </w:r>
      <w:r>
        <w:rPr>
          <w:rFonts w:ascii="Calibri" w:cs="Calibri" w:eastAsia="Calibri" w:hAnsi="Calibri"/>
          <w:b w:val="false"/>
          <w:bCs w:val="false"/>
          <w:color w:val="1A2E3B"/>
          <w:sz w:val="20"/>
          <w:szCs w:val="20"/>
        </w:rPr>
        <w:t xml:space="preserve">Microsoft Power BI Desktop</w:t>
      </w:r>
    </w:p>
    <w:p>
      <w:pPr>
        <w:spacing w:after="120"/>
      </w:pPr>
      <w:r>
        <w:rPr>
          <w:rFonts w:ascii="Calibri" w:cs="Calibri" w:eastAsia="Calibri" w:hAnsi="Calibri"/>
          <w:b/>
          <w:bCs/>
          <w:color w:val="1A2E3B"/>
          <w:sz w:val="22"/>
          <w:szCs w:val="22"/>
        </w:rPr>
        <w:t xml:space="preserve">Scope: </w:t>
      </w:r>
      <w:r>
        <w:rPr>
          <w:rFonts w:ascii="Calibri" w:cs="Calibri" w:eastAsia="Calibri" w:hAnsi="Calibri"/>
          <w:b w:val="false"/>
          <w:bCs w:val="false"/>
          <w:color w:val="1A2E3B"/>
          <w:sz w:val="20"/>
          <w:szCs w:val="20"/>
        </w:rPr>
        <w:t xml:space="preserve">End-to-end BI solution covering sales, product, promotions, returns, and customer survey 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2E8B8B" w:sz="4"/>
              <w:bottom w:val="single" w:color="D4A017" w:sz="4"/>
              <w:right w:val="single" w:color="2E8B8B" w:sz="4"/>
            </w:tcBorders>
            <w:shd w:fill="F5F7FA" w:val="clear"/>
            <w:tcMar>
              <w:top w:type="dxa" w:w="140"/>
              <w:left w:type="dxa" w:w="200"/>
              <w:bottom w:type="dxa" w:w="140"/>
              <w:right w:type="dxa" w:w="200"/>
            </w:tcMar>
          </w:tcPr>
          <w:p>
            <w:pPr>
              <w:spacing w:after="80"/>
            </w:pPr>
            <w:r>
              <w:rPr>
                <w:rFonts w:ascii="Calibri" w:cs="Calibri" w:eastAsia="Calibri" w:hAnsi="Calibri"/>
                <w:b/>
                <w:bCs/>
                <w:color w:val="2E8B8B"/>
                <w:sz w:val="22"/>
                <w:szCs w:val="22"/>
              </w:rPr>
              <w:t xml:space="preserve">Project Summary</w:t>
            </w:r>
          </w:p>
          <w:p>
            <w:pPr>
              <w:spacing w:after="120"/>
            </w:pPr>
            <w:r>
              <w:rPr>
                <w:rFonts w:ascii="Calibri" w:cs="Calibri" w:eastAsia="Calibri" w:hAnsi="Calibri"/>
                <w:b w:val="false"/>
                <w:bCs w:val="false"/>
                <w:color w:val="1A2E3B"/>
                <w:sz w:val="20"/>
                <w:szCs w:val="20"/>
              </w:rPr>
              <w:t xml:space="preserve">LUMINA MART is a comprehensive Power BI dashboard designed for the Egyptian dairy retail sector. It transforms raw transactional and survey data into actionable intelligence across six analytical domains, enabling stakeholders to monitor performance, identify growth opportunities, and make data-driven decisions with confidence.</w:t>
            </w:r>
          </w:p>
        </w:tc>
      </w:tr>
    </w:tbl>
    <w:p>
      <w:pPr>
        <w:spacing w:after="120"/>
      </w:pPr>
    </w:p>
    <w:p>
      <w:pPr>
        <w:pStyle w:val="Heading2"/>
        <w:pBdr>
          <w:bottom w:val="single" w:color="D4A017" w:sz="6" w:space="4"/>
        </w:pBdr>
        <w:spacing w:after="120" w:before="280"/>
      </w:pPr>
      <w:r>
        <w:rPr>
          <w:rFonts w:ascii="Calibri" w:cs="Calibri" w:eastAsia="Calibri" w:hAnsi="Calibri"/>
          <w:b/>
          <w:bCs/>
          <w:color w:val="2E8B8B"/>
          <w:sz w:val="26"/>
          <w:szCs w:val="26"/>
        </w:rPr>
        <w:t xml:space="preserve">1.1  Business Problem</w:t>
      </w:r>
    </w:p>
    <w:p>
      <w:pPr>
        <w:pStyle w:val="ListParagraph"/>
        <w:numPr>
          <w:ilvl w:val="0"/>
          <w:numId w:val="2"/>
        </w:numPr>
        <w:spacing w:after="80"/>
      </w:pPr>
      <w:r>
        <w:rPr>
          <w:rFonts w:ascii="Calibri" w:cs="Calibri" w:eastAsia="Calibri" w:hAnsi="Calibri"/>
          <w:b w:val="false"/>
          <w:bCs w:val="false"/>
          <w:color w:val="1A2E3B"/>
          <w:sz w:val="20"/>
          <w:szCs w:val="20"/>
        </w:rPr>
        <w:t xml:space="preserve">Lack of centralized visibility into sales performance across products, areas, and sales reps</w:t>
      </w:r>
    </w:p>
    <w:p>
      <w:pPr>
        <w:pStyle w:val="ListParagraph"/>
        <w:numPr>
          <w:ilvl w:val="0"/>
          <w:numId w:val="2"/>
        </w:numPr>
        <w:spacing w:after="80"/>
      </w:pPr>
      <w:r>
        <w:rPr>
          <w:rFonts w:ascii="Calibri" w:cs="Calibri" w:eastAsia="Calibri" w:hAnsi="Calibri"/>
          <w:b w:val="false"/>
          <w:bCs w:val="false"/>
          <w:color w:val="1A2E3B"/>
          <w:sz w:val="20"/>
          <w:szCs w:val="20"/>
        </w:rPr>
        <w:t xml:space="preserve">No clear measurement of promotional campaign effectiveness vs. organic sales</w:t>
      </w:r>
    </w:p>
    <w:p>
      <w:pPr>
        <w:pStyle w:val="ListParagraph"/>
        <w:numPr>
          <w:ilvl w:val="0"/>
          <w:numId w:val="2"/>
        </w:numPr>
        <w:spacing w:after="80"/>
      </w:pPr>
      <w:r>
        <w:rPr>
          <w:rFonts w:ascii="Calibri" w:cs="Calibri" w:eastAsia="Calibri" w:hAnsi="Calibri"/>
          <w:b w:val="false"/>
          <w:bCs w:val="false"/>
          <w:color w:val="1A2E3B"/>
          <w:sz w:val="20"/>
          <w:szCs w:val="20"/>
        </w:rPr>
        <w:t xml:space="preserve">Difficulty identifying high-return products and understanding quality complaints</w:t>
      </w:r>
    </w:p>
    <w:p>
      <w:pPr>
        <w:pStyle w:val="ListParagraph"/>
        <w:numPr>
          <w:ilvl w:val="0"/>
          <w:numId w:val="2"/>
        </w:numPr>
        <w:spacing w:after="80"/>
      </w:pPr>
      <w:r>
        <w:rPr>
          <w:rFonts w:ascii="Calibri" w:cs="Calibri" w:eastAsia="Calibri" w:hAnsi="Calibri"/>
          <w:b w:val="false"/>
          <w:bCs w:val="false"/>
          <w:color w:val="1A2E3B"/>
          <w:sz w:val="20"/>
          <w:szCs w:val="20"/>
        </w:rPr>
        <w:t xml:space="preserve">Limited understanding of customer preferences and brand loyalty drivers</w:t>
      </w:r>
    </w:p>
    <w:p>
      <w:pPr>
        <w:spacing w:after="80"/>
      </w:pPr>
    </w:p>
    <w:p>
      <w:pPr>
        <w:pStyle w:val="Heading2"/>
        <w:pBdr>
          <w:bottom w:val="single" w:color="D4A017" w:sz="6" w:space="4"/>
        </w:pBdr>
        <w:spacing w:after="120" w:before="280"/>
      </w:pPr>
      <w:r>
        <w:rPr>
          <w:rFonts w:ascii="Calibri" w:cs="Calibri" w:eastAsia="Calibri" w:hAnsi="Calibri"/>
          <w:b/>
          <w:bCs/>
          <w:color w:val="2E8B8B"/>
          <w:sz w:val="26"/>
          <w:szCs w:val="26"/>
        </w:rPr>
        <w:t xml:space="preserve">1.2  Solution Approach</w:t>
      </w:r>
    </w:p>
    <w:p>
      <w:pPr>
        <w:pStyle w:val="ListParagraph"/>
        <w:numPr>
          <w:ilvl w:val="0"/>
          <w:numId w:val="2"/>
        </w:numPr>
        <w:spacing w:after="80"/>
      </w:pPr>
      <w:r>
        <w:rPr>
          <w:rFonts w:ascii="Calibri" w:cs="Calibri" w:eastAsia="Calibri" w:hAnsi="Calibri"/>
          <w:b w:val="false"/>
          <w:bCs w:val="false"/>
          <w:color w:val="1A2E3B"/>
          <w:sz w:val="20"/>
          <w:szCs w:val="20"/>
        </w:rPr>
        <w:t xml:space="preserve">Built a multi-page interactive Power BI report with cross-filtering and drill-through</w:t>
      </w:r>
    </w:p>
    <w:p>
      <w:pPr>
        <w:pStyle w:val="ListParagraph"/>
        <w:numPr>
          <w:ilvl w:val="0"/>
          <w:numId w:val="2"/>
        </w:numPr>
        <w:spacing w:after="80"/>
      </w:pPr>
      <w:r>
        <w:rPr>
          <w:rFonts w:ascii="Calibri" w:cs="Calibri" w:eastAsia="Calibri" w:hAnsi="Calibri"/>
          <w:b w:val="false"/>
          <w:bCs w:val="false"/>
          <w:color w:val="1A2E3B"/>
          <w:sz w:val="20"/>
          <w:szCs w:val="20"/>
        </w:rPr>
        <w:t xml:space="preserve">Created a unified data model integrating sales, product, promotions, returns, and survey tables</w:t>
      </w:r>
    </w:p>
    <w:p>
      <w:pPr>
        <w:pStyle w:val="ListParagraph"/>
        <w:numPr>
          <w:ilvl w:val="0"/>
          <w:numId w:val="2"/>
        </w:numPr>
        <w:spacing w:after="80"/>
      </w:pPr>
      <w:r>
        <w:rPr>
          <w:rFonts w:ascii="Calibri" w:cs="Calibri" w:eastAsia="Calibri" w:hAnsi="Calibri"/>
          <w:b w:val="false"/>
          <w:bCs w:val="false"/>
          <w:color w:val="1A2E3B"/>
          <w:sz w:val="20"/>
          <w:szCs w:val="20"/>
        </w:rPr>
        <w:t xml:space="preserve">Designed an intuitive navigation system with a landing page and 6 dedicated report pages</w:t>
      </w:r>
    </w:p>
    <w:p>
      <w:pPr>
        <w:pStyle w:val="ListParagraph"/>
        <w:numPr>
          <w:ilvl w:val="0"/>
          <w:numId w:val="2"/>
        </w:numPr>
        <w:spacing w:after="80"/>
      </w:pPr>
      <w:r>
        <w:rPr>
          <w:rFonts w:ascii="Calibri" w:cs="Calibri" w:eastAsia="Calibri" w:hAnsi="Calibri"/>
          <w:b w:val="false"/>
          <w:bCs w:val="false"/>
          <w:color w:val="1A2E3B"/>
          <w:sz w:val="20"/>
          <w:szCs w:val="20"/>
        </w:rPr>
        <w:t xml:space="preserve">Implemented custom KPI cards, composite metrics, and a revenue performance gauge</w:t>
      </w:r>
    </w:p>
    <w:p>
      <w:pPr>
        <w:spacing w:after="120"/>
      </w:pPr>
    </w:p>
    <w:p>
      <w:r>
        <w:br w:type="page"/>
      </w:r>
    </w:p>
    <w:p>
      <w:pPr>
        <w:pStyle w:val="Heading1"/>
        <w:shd w:fill="2E8B8B" w:val="clear"/>
        <w:spacing w:after="180" w:before="360"/>
        <w:ind w:left="200" w:right="200"/>
      </w:pPr>
      <w:r>
        <w:rPr>
          <w:rFonts w:ascii="Calibri" w:cs="Calibri" w:eastAsia="Calibri" w:hAnsi="Calibri"/>
          <w:b/>
          <w:bCs/>
          <w:color w:val="FFFFFF"/>
          <w:sz w:val="36"/>
          <w:szCs w:val="36"/>
        </w:rPr>
        <w:t xml:space="preserve">2. Dashboard Pages</w:t>
      </w:r>
    </w:p>
    <w:p>
      <w:pPr>
        <w:spacing w:after="60"/>
      </w:pPr>
    </w:p>
    <w:p>
      <w:pPr>
        <w:pStyle w:val="Heading2"/>
        <w:pBdr>
          <w:bottom w:val="single" w:color="D4A017" w:sz="6" w:space="4"/>
        </w:pBdr>
        <w:spacing w:after="120" w:before="280"/>
      </w:pPr>
      <w:r>
        <w:rPr>
          <w:rFonts w:ascii="Calibri" w:cs="Calibri" w:eastAsia="Calibri" w:hAnsi="Calibri"/>
          <w:b/>
          <w:bCs/>
          <w:color w:val="2E8B8B"/>
          <w:sz w:val="26"/>
          <w:szCs w:val="26"/>
        </w:rPr>
        <w:t xml:space="preserve">2.1  Home / Landing Page</w:t>
      </w:r>
    </w:p>
    <w:p>
      <w:pPr>
        <w:spacing w:after="120"/>
      </w:pPr>
      <w:r>
        <w:rPr>
          <w:rFonts w:ascii="Calibri" w:cs="Calibri" w:eastAsia="Calibri" w:hAnsi="Calibri"/>
          <w:b w:val="false"/>
          <w:bCs w:val="false"/>
          <w:color w:val="1A2E3B"/>
          <w:sz w:val="20"/>
          <w:szCs w:val="20"/>
        </w:rPr>
        <w:t xml:space="preserve">A polished entry screen that summarises the five headline KPIs and provides one-click navigation to all report pages. Designed to give any audience an immediate feel for overall business health before diving deeper.</w:t>
      </w:r>
    </w:p>
    <w:p>
      <w:pPr>
        <w:spacing w:after="60"/>
      </w:pPr>
    </w:p>
    <w:p>
      <w:pPr>
        <w:spacing w:after="80" w:before="120"/>
        <w:jc w:val="center"/>
      </w:pPr>
      <w:r>
        <w:drawing>
          <wp:inline distT="0" distB="0" distL="0" distR="0">
            <wp:extent cx="6191250" cy="35793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579317"/>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1 – Home Page: headline KPIs and navigation hub</w:t>
      </w:r>
    </w:p>
    <w:p>
      <w:pPr>
        <w:spacing w:after="60"/>
      </w:pPr>
    </w:p>
    <w:p>
      <w:pPr>
        <w:pStyle w:val="Heading2"/>
        <w:pBdr>
          <w:bottom w:val="single" w:color="D4A017" w:sz="6" w:space="4"/>
        </w:pBdr>
        <w:spacing w:after="120" w:before="280"/>
      </w:pPr>
      <w:r>
        <w:rPr>
          <w:rFonts w:ascii="Calibri" w:cs="Calibri" w:eastAsia="Calibri" w:hAnsi="Calibri"/>
          <w:b/>
          <w:bCs/>
          <w:color w:val="2E8B8B"/>
          <w:sz w:val="26"/>
          <w:szCs w:val="26"/>
        </w:rPr>
        <w:t xml:space="preserve">2.2  Executive Overview</w:t>
      </w:r>
    </w:p>
    <w:p>
      <w:pPr>
        <w:spacing w:after="120"/>
      </w:pPr>
      <w:r>
        <w:rPr>
          <w:rFonts w:ascii="Calibri" w:cs="Calibri" w:eastAsia="Calibri" w:hAnsi="Calibri"/>
          <w:b w:val="false"/>
          <w:bCs w:val="false"/>
          <w:color w:val="1A2E3B"/>
          <w:sz w:val="20"/>
          <w:szCs w:val="20"/>
        </w:rPr>
        <w:t xml:space="preserve">The executive layer consolidates revenue, profitability, customer ranking, and segment distribution. A composite performance gauge (scored 0.78 – 'Good') combines sales, profit, and return behavior into a single headline metric.</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00"/>
        <w:gridCol w:w="2300"/>
        <w:gridCol w:w="2260"/>
      </w:tblGrid>
      <w:tr>
        <w:tc>
          <w:tcPr>
            <w:tcW w:type="dxa" w:w="2300"/>
            <w:tcBorders>
              <w:top w:val="none" w:color="FFFFFF" w:sz="0"/>
              <w:left w:val="none" w:color="FFFFFF" w:sz="0"/>
              <w:bottom w:val="none" w:color="FFFFFF" w:sz="0"/>
              <w:right w:val="none" w:color="FFFFFF" w:sz="0"/>
            </w:tcBorders>
            <w:shd w:fill="E8EDF2" w:val="clear"/>
            <w:tcMar>
              <w:top w:type="dxa" w:w="100"/>
              <w:left w:type="dxa" w:w="140"/>
              <w:bottom w:type="dxa" w:w="100"/>
              <w:right w:type="dxa" w:w="140"/>
            </w:tcMar>
            <w:vAlign w:val="center"/>
          </w:tcPr>
          <w:p>
            <w:pPr>
              <w:spacing w:after="40"/>
              <w:jc w:val="center"/>
            </w:pPr>
            <w:r>
              <w:rPr>
                <w:rFonts w:ascii="Calibri" w:cs="Calibri" w:eastAsia="Calibri" w:hAnsi="Calibri"/>
                <w:b/>
                <w:bCs/>
                <w:color w:val="2E8B8B"/>
                <w:sz w:val="32"/>
                <w:szCs w:val="32"/>
              </w:rPr>
              <w:t xml:space="preserve">26M EGP</w:t>
            </w:r>
          </w:p>
          <w:p>
            <w:pPr>
              <w:jc w:val="center"/>
            </w:pPr>
            <w:r>
              <w:rPr>
                <w:rFonts w:ascii="Calibri" w:cs="Calibri" w:eastAsia="Calibri" w:hAnsi="Calibri"/>
                <w:color w:val="555555"/>
                <w:sz w:val="18"/>
                <w:szCs w:val="18"/>
              </w:rPr>
              <w:t xml:space="preserve">Total Profit</w:t>
            </w:r>
          </w:p>
        </w:tc>
        <w:tc>
          <w:tcPr>
            <w:tcW w:type="dxa" w:w="2300"/>
            <w:tcBorders>
              <w:top w:val="none" w:color="FFFFFF" w:sz="0"/>
              <w:left w:val="none" w:color="FFFFFF" w:sz="0"/>
              <w:bottom w:val="none" w:color="FFFFFF" w:sz="0"/>
              <w:right w:val="none" w:color="FFFFFF" w:sz="0"/>
            </w:tcBorders>
            <w:shd w:fill="E8EDF2" w:val="clear"/>
            <w:tcMar>
              <w:top w:type="dxa" w:w="100"/>
              <w:left w:type="dxa" w:w="140"/>
              <w:bottom w:type="dxa" w:w="100"/>
              <w:right w:type="dxa" w:w="140"/>
            </w:tcMar>
            <w:vAlign w:val="center"/>
          </w:tcPr>
          <w:p>
            <w:pPr>
              <w:spacing w:after="40"/>
              <w:jc w:val="center"/>
            </w:pPr>
            <w:r>
              <w:rPr>
                <w:rFonts w:ascii="Calibri" w:cs="Calibri" w:eastAsia="Calibri" w:hAnsi="Calibri"/>
                <w:b/>
                <w:bCs/>
                <w:color w:val="2E8B8B"/>
                <w:sz w:val="32"/>
                <w:szCs w:val="32"/>
              </w:rPr>
              <w:t xml:space="preserve">108M EGP</w:t>
            </w:r>
          </w:p>
          <w:p>
            <w:pPr>
              <w:jc w:val="center"/>
            </w:pPr>
            <w:r>
              <w:rPr>
                <w:rFonts w:ascii="Calibri" w:cs="Calibri" w:eastAsia="Calibri" w:hAnsi="Calibri"/>
                <w:color w:val="555555"/>
                <w:sz w:val="18"/>
                <w:szCs w:val="18"/>
              </w:rPr>
              <w:t xml:space="preserve">Net Sales</w:t>
            </w:r>
          </w:p>
        </w:tc>
        <w:tc>
          <w:tcPr>
            <w:tcW w:type="dxa" w:w="200"/>
            <w:tcBorders>
              <w:top w:val="none" w:color="FFFFFF" w:sz="0"/>
              <w:left w:val="none" w:color="FFFFFF" w:sz="0"/>
              <w:bottom w:val="none" w:color="FFFFFF" w:sz="0"/>
              <w:right w:val="none" w:color="FFFFFF" w:sz="0"/>
            </w:tcBorders>
          </w:tcPr>
          <w:p/>
        </w:tc>
        <w:tc>
          <w:tcPr>
            <w:tcW w:type="dxa" w:w="2300"/>
            <w:tcBorders>
              <w:top w:val="none" w:color="FFFFFF" w:sz="0"/>
              <w:left w:val="none" w:color="FFFFFF" w:sz="0"/>
              <w:bottom w:val="none" w:color="FFFFFF" w:sz="0"/>
              <w:right w:val="none" w:color="FFFFFF" w:sz="0"/>
            </w:tcBorders>
            <w:shd w:fill="E8EDF2" w:val="clear"/>
            <w:tcMar>
              <w:top w:type="dxa" w:w="100"/>
              <w:left w:type="dxa" w:w="140"/>
              <w:bottom w:type="dxa" w:w="100"/>
              <w:right w:type="dxa" w:w="140"/>
            </w:tcMar>
            <w:vAlign w:val="center"/>
          </w:tcPr>
          <w:p>
            <w:pPr>
              <w:spacing w:after="40"/>
              <w:jc w:val="center"/>
            </w:pPr>
            <w:r>
              <w:rPr>
                <w:rFonts w:ascii="Calibri" w:cs="Calibri" w:eastAsia="Calibri" w:hAnsi="Calibri"/>
                <w:b/>
                <w:bCs/>
                <w:color w:val="2E8B8B"/>
                <w:sz w:val="32"/>
                <w:szCs w:val="32"/>
              </w:rPr>
              <w:t xml:space="preserve">22%</w:t>
            </w:r>
          </w:p>
          <w:p>
            <w:pPr>
              <w:jc w:val="center"/>
            </w:pPr>
            <w:r>
              <w:rPr>
                <w:rFonts w:ascii="Calibri" w:cs="Calibri" w:eastAsia="Calibri" w:hAnsi="Calibri"/>
                <w:color w:val="555555"/>
                <w:sz w:val="18"/>
                <w:szCs w:val="18"/>
              </w:rPr>
              <w:t xml:space="preserve">Profit Margin</w:t>
            </w:r>
          </w:p>
        </w:tc>
        <w:tc>
          <w:tcPr>
            <w:tcW w:type="dxa" w:w="2260"/>
            <w:tcBorders>
              <w:top w:val="none" w:color="FFFFFF" w:sz="0"/>
              <w:left w:val="none" w:color="FFFFFF" w:sz="0"/>
              <w:bottom w:val="none" w:color="FFFFFF" w:sz="0"/>
              <w:right w:val="none" w:color="FFFFFF" w:sz="0"/>
            </w:tcBorders>
            <w:shd w:fill="E8EDF2" w:val="clear"/>
            <w:tcMar>
              <w:top w:type="dxa" w:w="100"/>
              <w:left w:type="dxa" w:w="140"/>
              <w:bottom w:type="dxa" w:w="100"/>
              <w:right w:type="dxa" w:w="140"/>
            </w:tcMar>
            <w:vAlign w:val="center"/>
          </w:tcPr>
          <w:p>
            <w:pPr>
              <w:spacing w:after="40"/>
              <w:jc w:val="center"/>
            </w:pPr>
            <w:r>
              <w:rPr>
                <w:rFonts w:ascii="Calibri" w:cs="Calibri" w:eastAsia="Calibri" w:hAnsi="Calibri"/>
                <w:b/>
                <w:bCs/>
                <w:color w:val="2E8B8B"/>
                <w:sz w:val="32"/>
                <w:szCs w:val="32"/>
              </w:rPr>
              <w:t xml:space="preserve">0.36%</w:t>
            </w:r>
          </w:p>
          <w:p>
            <w:pPr>
              <w:jc w:val="center"/>
            </w:pPr>
            <w:r>
              <w:rPr>
                <w:rFonts w:ascii="Calibri" w:cs="Calibri" w:eastAsia="Calibri" w:hAnsi="Calibri"/>
                <w:color w:val="555555"/>
                <w:sz w:val="18"/>
                <w:szCs w:val="18"/>
              </w:rPr>
              <w:t xml:space="preserve">Return Rate</w:t>
            </w:r>
          </w:p>
        </w:tc>
      </w:tr>
    </w:tbl>
    <w:p>
      <w:pPr>
        <w:spacing w:after="60"/>
      </w:pPr>
    </w:p>
    <w:p>
      <w:pPr>
        <w:spacing w:after="60"/>
      </w:pPr>
    </w:p>
    <w:p>
      <w:pPr>
        <w:spacing w:after="80" w:before="120"/>
        <w:jc w:val="center"/>
      </w:pPr>
      <w:r>
        <w:drawing>
          <wp:inline distT="0" distB="0" distL="0" distR="0">
            <wp:extent cx="6191250" cy="35793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579317"/>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2 – Executive Overview: customer ranking, area breakdown, and performance gauge</w:t>
      </w:r>
    </w:p>
    <w:p>
      <w:pPr>
        <w:spacing w:after="60"/>
      </w:pPr>
    </w:p>
    <w:p>
      <w:pPr>
        <w:pStyle w:val="Heading2"/>
        <w:pBdr>
          <w:bottom w:val="single" w:color="D4A017" w:sz="6" w:space="4"/>
        </w:pBdr>
        <w:spacing w:after="120" w:before="280"/>
      </w:pPr>
      <w:r>
        <w:rPr>
          <w:rFonts w:ascii="Calibri" w:cs="Calibri" w:eastAsia="Calibri" w:hAnsi="Calibri"/>
          <w:b/>
          <w:bCs/>
          <w:color w:val="2E8B8B"/>
          <w:sz w:val="26"/>
          <w:szCs w:val="26"/>
        </w:rPr>
        <w:t xml:space="preserve">2.3  Sales Performance</w:t>
      </w:r>
    </w:p>
    <w:p>
      <w:pPr>
        <w:spacing w:after="120"/>
      </w:pPr>
      <w:r>
        <w:rPr>
          <w:rFonts w:ascii="Calibri" w:cs="Calibri" w:eastAsia="Calibri" w:hAnsi="Calibri"/>
          <w:b w:val="false"/>
          <w:bCs w:val="false"/>
          <w:color w:val="1A2E3B"/>
          <w:sz w:val="20"/>
          <w:szCs w:val="20"/>
        </w:rPr>
        <w:t xml:space="preserve">Tracks monthly sales vs. last year, top 5 sales representatives, segment distribution (Wholesale 51%, Retail 32%), product growth share, and cumulative profit waterfall. Filters for Segment, Product, and Year are provided for ad-hoc analysis.</w:t>
      </w:r>
    </w:p>
    <w:p>
      <w:pPr>
        <w:spacing w:after="60"/>
      </w:pPr>
    </w:p>
    <w:p>
      <w:pPr>
        <w:spacing w:after="80" w:before="120"/>
        <w:jc w:val="center"/>
      </w:pPr>
      <w:r>
        <w:drawing>
          <wp:inline distT="0" distB="0" distL="0" distR="0">
            <wp:extent cx="6191250" cy="35793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579317"/>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3 – Sales Performance: YoY comparison, rep ranking, and profit waterfall</w:t>
      </w:r>
    </w:p>
    <w:p>
      <w:pPr>
        <w:spacing w:after="60"/>
      </w:pPr>
    </w:p>
    <w:p>
      <w:pPr>
        <w:pStyle w:val="ListParagraph"/>
        <w:numPr>
          <w:ilvl w:val="0"/>
          <w:numId w:val="2"/>
        </w:numPr>
        <w:spacing w:after="80"/>
      </w:pPr>
      <w:r>
        <w:rPr>
          <w:rFonts w:ascii="Calibri" w:cs="Calibri" w:eastAsia="Calibri" w:hAnsi="Calibri"/>
          <w:b w:val="false"/>
          <w:bCs w:val="false"/>
          <w:color w:val="1A2E3B"/>
          <w:sz w:val="20"/>
          <w:szCs w:val="20"/>
        </w:rPr>
        <w:t xml:space="preserve">Sales Target: 119.29M EGP  |  Achieved: 108M EGP  |  Achievement Rate: 96.99%</w:t>
      </w:r>
    </w:p>
    <w:p>
      <w:pPr>
        <w:pStyle w:val="ListParagraph"/>
        <w:numPr>
          <w:ilvl w:val="0"/>
          <w:numId w:val="2"/>
        </w:numPr>
        <w:spacing w:after="80"/>
      </w:pPr>
      <w:r>
        <w:rPr>
          <w:rFonts w:ascii="Calibri" w:cs="Calibri" w:eastAsia="Calibri" w:hAnsi="Calibri"/>
          <w:b w:val="false"/>
          <w:bCs w:val="false"/>
          <w:color w:val="1A2E3B"/>
          <w:sz w:val="20"/>
          <w:szCs w:val="20"/>
        </w:rPr>
        <w:t xml:space="preserve">Wholesale leads segment distribution at 51.02%, followed by Retail Supply at 31.82%</w:t>
      </w:r>
    </w:p>
    <w:p>
      <w:pPr>
        <w:pStyle w:val="ListParagraph"/>
        <w:numPr>
          <w:ilvl w:val="0"/>
          <w:numId w:val="2"/>
        </w:numPr>
        <w:spacing w:after="80"/>
      </w:pPr>
      <w:r>
        <w:rPr>
          <w:rFonts w:ascii="Calibri" w:cs="Calibri" w:eastAsia="Calibri" w:hAnsi="Calibri"/>
          <w:b w:val="false"/>
          <w:bCs w:val="false"/>
          <w:color w:val="1A2E3B"/>
          <w:sz w:val="20"/>
          <w:szCs w:val="20"/>
        </w:rPr>
        <w:t xml:space="preserve">All four product categories (Cheese, Yogurt, Milk, Butter) hold roughly equal growth share (~25%)</w:t>
      </w:r>
    </w:p>
    <w:p>
      <w:pPr>
        <w:spacing w:after="100"/>
      </w:pPr>
    </w:p>
    <w:p>
      <w:r>
        <w:br w:type="page"/>
      </w:r>
    </w:p>
    <w:p>
      <w:pPr>
        <w:pStyle w:val="Heading2"/>
        <w:pBdr>
          <w:bottom w:val="single" w:color="D4A017" w:sz="6" w:space="4"/>
        </w:pBdr>
        <w:spacing w:after="120" w:before="280"/>
      </w:pPr>
      <w:r>
        <w:rPr>
          <w:rFonts w:ascii="Calibri" w:cs="Calibri" w:eastAsia="Calibri" w:hAnsi="Calibri"/>
          <w:b/>
          <w:bCs/>
          <w:color w:val="2E8B8B"/>
          <w:sz w:val="26"/>
          <w:szCs w:val="26"/>
        </w:rPr>
        <w:t xml:space="preserve">2.4  Product Analysis</w:t>
      </w:r>
    </w:p>
    <w:p>
      <w:pPr>
        <w:spacing w:after="120"/>
      </w:pPr>
      <w:r>
        <w:rPr>
          <w:rFonts w:ascii="Calibri" w:cs="Calibri" w:eastAsia="Calibri" w:hAnsi="Calibri"/>
          <w:b w:val="false"/>
          <w:bCs w:val="false"/>
          <w:color w:val="1A2E3B"/>
          <w:sz w:val="20"/>
          <w:szCs w:val="20"/>
        </w:rPr>
        <w:t xml:space="preserve">Analyses category sales vs. return rate, brand profitability margins, and a profit-share matrix across all seven product SKUs and eight brands. Filters for Brand, Product, and Area allow granular investigation.</w:t>
      </w:r>
    </w:p>
    <w:p>
      <w:pPr>
        <w:spacing w:after="60"/>
      </w:pPr>
    </w:p>
    <w:p>
      <w:pPr>
        <w:spacing w:after="80" w:before="120"/>
        <w:jc w:val="center"/>
      </w:pPr>
      <w:r>
        <w:drawing>
          <wp:inline distT="0" distB="0" distL="0" distR="0">
            <wp:extent cx="6191250" cy="35793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579317"/>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4 – Product Analysis: category performance, brand margins, and profit-share matrix</w:t>
      </w:r>
    </w:p>
    <w:p>
      <w:pPr>
        <w:spacing w:after="60"/>
      </w:pPr>
    </w:p>
    <w:p>
      <w:pPr>
        <w:pStyle w:val="ListParagraph"/>
        <w:numPr>
          <w:ilvl w:val="0"/>
          <w:numId w:val="2"/>
        </w:numPr>
        <w:spacing w:after="80"/>
      </w:pPr>
      <w:r>
        <w:rPr>
          <w:rFonts w:ascii="Calibri" w:cs="Calibri" w:eastAsia="Calibri" w:hAnsi="Calibri"/>
          <w:b w:val="false"/>
          <w:bCs w:val="false"/>
          <w:color w:val="1A2E3B"/>
          <w:sz w:val="20"/>
          <w:szCs w:val="20"/>
        </w:rPr>
        <w:t xml:space="preserve">Cheddar Cheese and White Cheese are the highest-revenue categories</w:t>
      </w:r>
    </w:p>
    <w:p>
      <w:pPr>
        <w:pStyle w:val="ListParagraph"/>
        <w:numPr>
          <w:ilvl w:val="0"/>
          <w:numId w:val="2"/>
        </w:numPr>
        <w:spacing w:after="80"/>
      </w:pPr>
      <w:r>
        <w:rPr>
          <w:rFonts w:ascii="Calibri" w:cs="Calibri" w:eastAsia="Calibri" w:hAnsi="Calibri"/>
          <w:b w:val="false"/>
          <w:bCs w:val="false"/>
          <w:color w:val="1A2E3B"/>
          <w:sz w:val="20"/>
          <w:szCs w:val="20"/>
        </w:rPr>
        <w:t xml:space="preserve">Danone leads brand profitability at 22.91% average margin; Almarai trails at 21.86%</w:t>
      </w:r>
    </w:p>
    <w:p>
      <w:pPr>
        <w:pStyle w:val="ListParagraph"/>
        <w:numPr>
          <w:ilvl w:val="0"/>
          <w:numId w:val="2"/>
        </w:numPr>
        <w:spacing w:after="80"/>
      </w:pPr>
      <w:r>
        <w:rPr>
          <w:rFonts w:ascii="Calibri" w:cs="Calibri" w:eastAsia="Calibri" w:hAnsi="Calibri"/>
          <w:b w:val="false"/>
          <w:bCs w:val="false"/>
          <w:color w:val="1A2E3B"/>
          <w:sz w:val="20"/>
          <w:szCs w:val="20"/>
        </w:rPr>
        <w:t xml:space="preserve">The profit-share matrix reveals diversified contribution across all brand–category combinations</w:t>
      </w:r>
    </w:p>
    <w:p>
      <w:pPr>
        <w:spacing w:after="120"/>
      </w:pPr>
    </w:p>
    <w:p>
      <w:pPr>
        <w:pStyle w:val="Heading2"/>
        <w:pBdr>
          <w:bottom w:val="single" w:color="D4A017" w:sz="6" w:space="4"/>
        </w:pBdr>
        <w:spacing w:after="120" w:before="280"/>
      </w:pPr>
      <w:r>
        <w:rPr>
          <w:rFonts w:ascii="Calibri" w:cs="Calibri" w:eastAsia="Calibri" w:hAnsi="Calibri"/>
          <w:b/>
          <w:bCs/>
          <w:color w:val="2E8B8B"/>
          <w:sz w:val="26"/>
          <w:szCs w:val="26"/>
        </w:rPr>
        <w:t xml:space="preserve">2.5  Promotions Analysis</w:t>
      </w:r>
    </w:p>
    <w:p>
      <w:pPr>
        <w:spacing w:after="120"/>
      </w:pPr>
      <w:r>
        <w:rPr>
          <w:rFonts w:ascii="Calibri" w:cs="Calibri" w:eastAsia="Calibri" w:hAnsi="Calibri"/>
          <w:b w:val="false"/>
          <w:bCs w:val="false"/>
          <w:color w:val="1A2E3B"/>
          <w:sz w:val="20"/>
          <w:szCs w:val="20"/>
        </w:rPr>
        <w:t xml:space="preserve">Evaluates campaign effectiveness relative to organic baseline sales, the financial profit impact of promotions, and offer vs. standard revenue split by product category.</w:t>
      </w:r>
    </w:p>
    <w:p>
      <w:pPr>
        <w:spacing w:after="60"/>
      </w:pPr>
    </w:p>
    <w:p>
      <w:pPr>
        <w:spacing w:after="80" w:before="120"/>
        <w:jc w:val="center"/>
      </w:pPr>
      <w:r>
        <w:drawing>
          <wp:inline distT="0" distB="0" distL="0" distR="0">
            <wp:extent cx="6191250" cy="35793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579317"/>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5 – Promotions Analysis: campaign baseline, profit impact, and offer vs. standard sales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2E8B8B" w:sz="4"/>
              <w:bottom w:val="single" w:color="D4A017" w:sz="4"/>
              <w:right w:val="single" w:color="2E8B8B" w:sz="4"/>
            </w:tcBorders>
            <w:shd w:fill="F5F7FA" w:val="clear"/>
            <w:tcMar>
              <w:top w:type="dxa" w:w="140"/>
              <w:left w:type="dxa" w:w="200"/>
              <w:bottom w:type="dxa" w:w="140"/>
              <w:right w:type="dxa" w:w="200"/>
            </w:tcMar>
          </w:tcPr>
          <w:p>
            <w:pPr>
              <w:spacing w:after="60"/>
            </w:pPr>
            <w:r>
              <w:rPr>
                <w:rFonts w:ascii="Calibri" w:cs="Calibri" w:eastAsia="Calibri" w:hAnsi="Calibri"/>
                <w:b/>
                <w:bCs/>
                <w:color w:val="2E8B8B"/>
                <w:sz w:val="22"/>
                <w:szCs w:val="22"/>
              </w:rPr>
              <w:t xml:space="preserve">Key Promotion Metrics</w:t>
            </w:r>
          </w:p>
          <w:p>
            <w:pPr>
              <w:spacing w:after="120"/>
            </w:pPr>
            <w:r>
              <w:rPr>
                <w:rFonts w:ascii="Calibri" w:cs="Calibri" w:eastAsia="Calibri" w:hAnsi="Calibri"/>
                <w:b/>
                <w:bCs/>
                <w:color w:val="1A2E3B"/>
                <w:sz w:val="20"/>
                <w:szCs w:val="20"/>
              </w:rPr>
              <w:t xml:space="preserve">Offer Revenue Share: </w:t>
            </w:r>
            <w:r>
              <w:rPr>
                <w:rFonts w:ascii="Calibri" w:cs="Calibri" w:eastAsia="Calibri" w:hAnsi="Calibri"/>
                <w:b/>
                <w:bCs/>
                <w:color w:val="2E8B8B"/>
                <w:sz w:val="20"/>
                <w:szCs w:val="20"/>
              </w:rPr>
              <w:t xml:space="preserve">53.27%  </w:t>
            </w:r>
            <w:r>
              <w:rPr>
                <w:rFonts w:ascii="Calibri" w:cs="Calibri" w:eastAsia="Calibri" w:hAnsi="Calibri"/>
                <w:color w:val="555555"/>
                <w:sz w:val="20"/>
                <w:szCs w:val="20"/>
              </w:rPr>
              <w:t xml:space="preserve">– More than half of all revenue is generated during promotional periods</w:t>
            </w:r>
          </w:p>
          <w:p>
            <w:pPr>
              <w:spacing w:after="120"/>
            </w:pPr>
            <w:r>
              <w:rPr>
                <w:rFonts w:ascii="Calibri" w:cs="Calibri" w:eastAsia="Calibri" w:hAnsi="Calibri"/>
                <w:b/>
                <w:bCs/>
                <w:color w:val="1A2E3B"/>
                <w:sz w:val="20"/>
                <w:szCs w:val="20"/>
              </w:rPr>
              <w:t xml:space="preserve">Offer Profit Margin: </w:t>
            </w:r>
            <w:r>
              <w:rPr>
                <w:rFonts w:ascii="Calibri" w:cs="Calibri" w:eastAsia="Calibri" w:hAnsi="Calibri"/>
                <w:b/>
                <w:bCs/>
                <w:color w:val="2E8B8B"/>
                <w:sz w:val="20"/>
                <w:szCs w:val="20"/>
              </w:rPr>
              <w:t xml:space="preserve">21.86%  </w:t>
            </w:r>
            <w:r>
              <w:rPr>
                <w:rFonts w:ascii="Calibri" w:cs="Calibri" w:eastAsia="Calibri" w:hAnsi="Calibri"/>
                <w:color w:val="555555"/>
                <w:sz w:val="20"/>
                <w:szCs w:val="20"/>
              </w:rPr>
              <w:t xml:space="preserve">– Promotions maintain healthy margins despite discounted pricing</w:t>
            </w:r>
          </w:p>
          <w:p>
            <w:pPr>
              <w:spacing w:after="120"/>
            </w:pPr>
            <w:r>
              <w:rPr>
                <w:rFonts w:ascii="Calibri" w:cs="Calibri" w:eastAsia="Calibri" w:hAnsi="Calibri"/>
                <w:b/>
                <w:bCs/>
                <w:color w:val="1A2E3B"/>
                <w:sz w:val="20"/>
                <w:szCs w:val="20"/>
              </w:rPr>
              <w:t xml:space="preserve">Promotion Conversion Rate: </w:t>
            </w:r>
            <w:r>
              <w:rPr>
                <w:rFonts w:ascii="Calibri" w:cs="Calibri" w:eastAsia="Calibri" w:hAnsi="Calibri"/>
                <w:b/>
                <w:bCs/>
                <w:color w:val="2E8B8B"/>
                <w:sz w:val="20"/>
                <w:szCs w:val="20"/>
              </w:rPr>
              <w:t xml:space="preserve">68.97%  </w:t>
            </w:r>
            <w:r>
              <w:rPr>
                <w:rFonts w:ascii="Calibri" w:cs="Calibri" w:eastAsia="Calibri" w:hAnsi="Calibri"/>
                <w:color w:val="555555"/>
                <w:sz w:val="20"/>
                <w:szCs w:val="20"/>
              </w:rPr>
              <w:t xml:space="preserve">– High conversion confirms strong campaign effectiveness</w:t>
            </w:r>
          </w:p>
        </w:tc>
      </w:tr>
    </w:tbl>
    <w:p>
      <w:pPr>
        <w:spacing w:after="120"/>
      </w:pPr>
    </w:p>
    <w:p>
      <w:r>
        <w:br w:type="page"/>
      </w:r>
    </w:p>
    <w:p>
      <w:pPr>
        <w:pStyle w:val="Heading2"/>
        <w:pBdr>
          <w:bottom w:val="single" w:color="D4A017" w:sz="6" w:space="4"/>
        </w:pBdr>
        <w:spacing w:after="120" w:before="280"/>
      </w:pPr>
      <w:r>
        <w:rPr>
          <w:rFonts w:ascii="Calibri" w:cs="Calibri" w:eastAsia="Calibri" w:hAnsi="Calibri"/>
          <w:b/>
          <w:bCs/>
          <w:color w:val="2E8B8B"/>
          <w:sz w:val="26"/>
          <w:szCs w:val="26"/>
        </w:rPr>
        <w:t xml:space="preserve">2.6  Returns &amp; Quality</w:t>
      </w:r>
    </w:p>
    <w:p>
      <w:pPr>
        <w:spacing w:after="120"/>
      </w:pPr>
      <w:r>
        <w:rPr>
          <w:rFonts w:ascii="Calibri" w:cs="Calibri" w:eastAsia="Calibri" w:hAnsi="Calibri"/>
          <w:b w:val="false"/>
          <w:bCs w:val="false"/>
          <w:color w:val="1A2E3B"/>
          <w:sz w:val="20"/>
          <w:szCs w:val="20"/>
        </w:rPr>
        <w:t xml:space="preserve">Monitors monthly return rate trends, the financial impact of returns by product category, geographic return distribution, near-expiry exposure, and complaint frequency by brand.</w:t>
      </w:r>
    </w:p>
    <w:p>
      <w:pPr>
        <w:spacing w:after="60"/>
      </w:pPr>
    </w:p>
    <w:p>
      <w:pPr>
        <w:spacing w:after="80" w:before="120"/>
        <w:jc w:val="center"/>
      </w:pPr>
      <w:r>
        <w:drawing>
          <wp:inline distT="0" distB="0" distL="0" distR="0">
            <wp:extent cx="6191250" cy="35793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579317"/>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6 – Returns &amp; Quality: return rate trend, financial impact, area map, and brand complaints</w:t>
      </w:r>
    </w:p>
    <w:p>
      <w:pPr>
        <w:spacing w:after="60"/>
      </w:pPr>
    </w:p>
    <w:p>
      <w:pPr>
        <w:pStyle w:val="ListParagraph"/>
        <w:numPr>
          <w:ilvl w:val="0"/>
          <w:numId w:val="2"/>
        </w:numPr>
        <w:spacing w:after="80"/>
      </w:pPr>
      <w:r>
        <w:rPr>
          <w:rFonts w:ascii="Calibri" w:cs="Calibri" w:eastAsia="Calibri" w:hAnsi="Calibri"/>
          <w:b w:val="false"/>
          <w:bCs w:val="false"/>
          <w:color w:val="1A2E3B"/>
          <w:sz w:val="20"/>
          <w:szCs w:val="20"/>
        </w:rPr>
        <w:t xml:space="preserve">Overall return rate is very low at 0.36%, indicating strong product quality control</w:t>
      </w:r>
    </w:p>
    <w:p>
      <w:pPr>
        <w:pStyle w:val="ListParagraph"/>
        <w:numPr>
          <w:ilvl w:val="0"/>
          <w:numId w:val="2"/>
        </w:numPr>
        <w:spacing w:after="80"/>
      </w:pPr>
      <w:r>
        <w:rPr>
          <w:rFonts w:ascii="Calibri" w:cs="Calibri" w:eastAsia="Calibri" w:hAnsi="Calibri"/>
          <w:b w:val="false"/>
          <w:bCs w:val="false"/>
          <w:color w:val="1A2E3B"/>
          <w:sz w:val="20"/>
          <w:szCs w:val="20"/>
        </w:rPr>
        <w:t xml:space="preserve">Cheese accounts for the highest return value at 4.7M EGP, driven by volume rather than defect rate</w:t>
      </w:r>
    </w:p>
    <w:p>
      <w:pPr>
        <w:pStyle w:val="ListParagraph"/>
        <w:numPr>
          <w:ilvl w:val="0"/>
          <w:numId w:val="2"/>
        </w:numPr>
        <w:spacing w:after="80"/>
      </w:pPr>
      <w:r>
        <w:rPr>
          <w:rFonts w:ascii="Calibri" w:cs="Calibri" w:eastAsia="Calibri" w:hAnsi="Calibri"/>
          <w:b w:val="false"/>
          <w:bCs w:val="false"/>
          <w:color w:val="1A2E3B"/>
          <w:sz w:val="20"/>
          <w:szCs w:val="20"/>
        </w:rPr>
        <w:t xml:space="preserve">Suez region shows the highest returns by area (2.0M EGP)</w:t>
      </w:r>
    </w:p>
    <w:p>
      <w:pPr>
        <w:pStyle w:val="ListParagraph"/>
        <w:numPr>
          <w:ilvl w:val="0"/>
          <w:numId w:val="2"/>
        </w:numPr>
        <w:spacing w:after="80"/>
      </w:pPr>
      <w:r>
        <w:rPr>
          <w:rFonts w:ascii="Calibri" w:cs="Calibri" w:eastAsia="Calibri" w:hAnsi="Calibri"/>
          <w:b w:val="false"/>
          <w:bCs w:val="false"/>
          <w:color w:val="1A2E3B"/>
          <w:sz w:val="20"/>
          <w:szCs w:val="20"/>
        </w:rPr>
        <w:t xml:space="preserve">Dina Farms, Juhayna, and Almarai top complaint frequency – likely reflecting their larger sales volumes</w:t>
      </w:r>
    </w:p>
    <w:p>
      <w:pPr>
        <w:spacing w:after="120"/>
      </w:pPr>
    </w:p>
    <w:p>
      <w:pPr>
        <w:pStyle w:val="Heading2"/>
        <w:pBdr>
          <w:bottom w:val="single" w:color="D4A017" w:sz="6" w:space="4"/>
        </w:pBdr>
        <w:spacing w:after="120" w:before="280"/>
      </w:pPr>
      <w:r>
        <w:rPr>
          <w:rFonts w:ascii="Calibri" w:cs="Calibri" w:eastAsia="Calibri" w:hAnsi="Calibri"/>
          <w:b/>
          <w:bCs/>
          <w:color w:val="2E8B8B"/>
          <w:sz w:val="26"/>
          <w:szCs w:val="26"/>
        </w:rPr>
        <w:t xml:space="preserve">2.7  Survey Insights</w:t>
      </w:r>
    </w:p>
    <w:p>
      <w:pPr>
        <w:spacing w:after="120"/>
      </w:pPr>
      <w:r>
        <w:rPr>
          <w:rFonts w:ascii="Calibri" w:cs="Calibri" w:eastAsia="Calibri" w:hAnsi="Calibri"/>
          <w:b w:val="false"/>
          <w:bCs w:val="false"/>
          <w:color w:val="1A2E3B"/>
          <w:sz w:val="20"/>
          <w:szCs w:val="20"/>
        </w:rPr>
        <w:t xml:space="preserve">Presents findings from a 112-respondent consumer survey covering monthly spending habits, purchase decision factors, promotional influence, and brand loyalty under price-increase scenarios.</w:t>
      </w:r>
    </w:p>
    <w:p>
      <w:pPr>
        <w:spacing w:after="60"/>
      </w:pPr>
    </w:p>
    <w:p>
      <w:pPr>
        <w:spacing w:after="80" w:before="120"/>
        <w:jc w:val="center"/>
      </w:pPr>
      <w:r>
        <w:drawing>
          <wp:inline distT="0" distB="0" distL="0" distR="0">
            <wp:extent cx="6191250" cy="35793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3579317"/>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7 – Survey Insights: spending bands, decision factors, offer influence, and brand loyalty</w:t>
      </w:r>
    </w:p>
    <w:p>
      <w:pPr>
        <w:spacing w:after="60"/>
      </w:pPr>
    </w:p>
    <w:p>
      <w:pPr>
        <w:pStyle w:val="ListParagraph"/>
        <w:numPr>
          <w:ilvl w:val="0"/>
          <w:numId w:val="2"/>
        </w:numPr>
        <w:spacing w:after="80"/>
      </w:pPr>
      <w:r>
        <w:rPr>
          <w:rFonts w:ascii="Calibri" w:cs="Calibri" w:eastAsia="Calibri" w:hAnsi="Calibri"/>
          <w:b w:val="false"/>
          <w:bCs w:val="false"/>
          <w:color w:val="1A2E3B"/>
          <w:sz w:val="20"/>
          <w:szCs w:val="20"/>
        </w:rPr>
        <w:t xml:space="preserve">Quality (43 respondents) is the #1 purchase driver, followed by Brand Trust (28) and Taste (18)</w:t>
      </w:r>
    </w:p>
    <w:p>
      <w:pPr>
        <w:pStyle w:val="ListParagraph"/>
        <w:numPr>
          <w:ilvl w:val="0"/>
          <w:numId w:val="2"/>
        </w:numPr>
        <w:spacing w:after="80"/>
      </w:pPr>
      <w:r>
        <w:rPr>
          <w:rFonts w:ascii="Calibri" w:cs="Calibri" w:eastAsia="Calibri" w:hAnsi="Calibri"/>
          <w:b w:val="false"/>
          <w:bCs w:val="false"/>
          <w:color w:val="1A2E3B"/>
          <w:sz w:val="20"/>
          <w:szCs w:val="20"/>
        </w:rPr>
        <w:t xml:space="preserve">Juhayna is rated the #1 best brand (42 votes), followed by Almarai (27) and Domty (16)</w:t>
      </w:r>
    </w:p>
    <w:p>
      <w:pPr>
        <w:pStyle w:val="ListParagraph"/>
        <w:numPr>
          <w:ilvl w:val="0"/>
          <w:numId w:val="2"/>
        </w:numPr>
        <w:spacing w:after="80"/>
      </w:pPr>
      <w:r>
        <w:rPr>
          <w:rFonts w:ascii="Calibri" w:cs="Calibri" w:eastAsia="Calibri" w:hAnsi="Calibri"/>
          <w:b w:val="false"/>
          <w:bCs w:val="false"/>
          <w:color w:val="1A2E3B"/>
          <w:sz w:val="20"/>
          <w:szCs w:val="20"/>
        </w:rPr>
        <w:t xml:space="preserve">41.96% of customers would 'sometimes' switch brands on price increase; only 30.36% show strong loyalty</w:t>
      </w:r>
    </w:p>
    <w:p>
      <w:pPr>
        <w:pStyle w:val="ListParagraph"/>
        <w:numPr>
          <w:ilvl w:val="0"/>
          <w:numId w:val="2"/>
        </w:numPr>
        <w:spacing w:after="80"/>
      </w:pPr>
      <w:r>
        <w:rPr>
          <w:rFonts w:ascii="Calibri" w:cs="Calibri" w:eastAsia="Calibri" w:hAnsi="Calibri"/>
          <w:b w:val="false"/>
          <w:bCs w:val="false"/>
          <w:color w:val="1A2E3B"/>
          <w:sz w:val="20"/>
          <w:szCs w:val="20"/>
        </w:rPr>
        <w:t xml:space="preserve">Offers strongly influence purchase decisions across Cheese (44) and Milk (43) categories</w:t>
      </w:r>
    </w:p>
    <w:p>
      <w:pPr>
        <w:spacing w:after="120"/>
      </w:pPr>
    </w:p>
    <w:p>
      <w:r>
        <w:br w:type="page"/>
      </w:r>
    </w:p>
    <w:p>
      <w:pPr>
        <w:pStyle w:val="Heading1"/>
        <w:shd w:fill="2E8B8B" w:val="clear"/>
        <w:spacing w:after="180" w:before="360"/>
        <w:ind w:left="200" w:right="200"/>
      </w:pPr>
      <w:r>
        <w:rPr>
          <w:rFonts w:ascii="Calibri" w:cs="Calibri" w:eastAsia="Calibri" w:hAnsi="Calibri"/>
          <w:b/>
          <w:bCs/>
          <w:color w:val="FFFFFF"/>
          <w:sz w:val="36"/>
          <w:szCs w:val="36"/>
        </w:rPr>
        <w:t xml:space="preserve">3. Data Model &amp; Technical Highlights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160"/>
            </w:tcMar>
          </w:tcPr>
          <w:p>
            <w:pPr>
              <w:pStyle w:val="Heading2"/>
              <w:pBdr>
                <w:bottom w:val="single" w:color="D4A017" w:sz="6" w:space="4"/>
              </w:pBdr>
              <w:spacing w:after="120" w:before="280"/>
            </w:pPr>
            <w:r>
              <w:rPr>
                <w:rFonts w:ascii="Calibri" w:cs="Calibri" w:eastAsia="Calibri" w:hAnsi="Calibri"/>
                <w:b/>
                <w:bCs/>
                <w:color w:val="2E8B8B"/>
                <w:sz w:val="26"/>
                <w:szCs w:val="26"/>
              </w:rPr>
              <w:t xml:space="preserve">Data Model</w:t>
            </w:r>
          </w:p>
          <w:p>
            <w:pPr>
              <w:pStyle w:val="ListParagraph"/>
              <w:numPr>
                <w:ilvl w:val="0"/>
                <w:numId w:val="2"/>
              </w:numPr>
              <w:spacing w:after="80"/>
            </w:pPr>
            <w:r>
              <w:rPr>
                <w:rFonts w:ascii="Calibri" w:cs="Calibri" w:eastAsia="Calibri" w:hAnsi="Calibri"/>
                <w:b w:val="false"/>
                <w:bCs w:val="false"/>
                <w:color w:val="1A2E3B"/>
                <w:sz w:val="20"/>
                <w:szCs w:val="20"/>
              </w:rPr>
              <w:t xml:space="preserve">Star schema with a central fact table (Sales Transactions)</w:t>
            </w:r>
          </w:p>
          <w:p>
            <w:pPr>
              <w:pStyle w:val="ListParagraph"/>
              <w:numPr>
                <w:ilvl w:val="0"/>
                <w:numId w:val="2"/>
              </w:numPr>
              <w:spacing w:after="80"/>
            </w:pPr>
            <w:r>
              <w:rPr>
                <w:rFonts w:ascii="Calibri" w:cs="Calibri" w:eastAsia="Calibri" w:hAnsi="Calibri"/>
                <w:b w:val="false"/>
                <w:bCs w:val="false"/>
                <w:color w:val="1A2E3B"/>
                <w:sz w:val="20"/>
                <w:szCs w:val="20"/>
              </w:rPr>
              <w:t xml:space="preserve">Dimension tables: Products, Customers, Dates, Areas, Sales Reps, Promotions</w:t>
            </w:r>
          </w:p>
          <w:p>
            <w:pPr>
              <w:pStyle w:val="ListParagraph"/>
              <w:numPr>
                <w:ilvl w:val="0"/>
                <w:numId w:val="2"/>
              </w:numPr>
              <w:spacing w:after="80"/>
            </w:pPr>
            <w:r>
              <w:rPr>
                <w:rFonts w:ascii="Calibri" w:cs="Calibri" w:eastAsia="Calibri" w:hAnsi="Calibri"/>
                <w:b w:val="false"/>
                <w:bCs w:val="false"/>
                <w:color w:val="1A2E3B"/>
                <w:sz w:val="20"/>
                <w:szCs w:val="20"/>
              </w:rPr>
              <w:t xml:space="preserve">Separate return and survey tables linked via shared keys</w:t>
            </w:r>
          </w:p>
          <w:p>
            <w:pPr>
              <w:pStyle w:val="ListParagraph"/>
              <w:numPr>
                <w:ilvl w:val="0"/>
                <w:numId w:val="2"/>
              </w:numPr>
              <w:spacing w:after="80"/>
            </w:pPr>
            <w:r>
              <w:rPr>
                <w:rFonts w:ascii="Calibri" w:cs="Calibri" w:eastAsia="Calibri" w:hAnsi="Calibri"/>
                <w:b w:val="false"/>
                <w:bCs w:val="false"/>
                <w:color w:val="1A2E3B"/>
                <w:sz w:val="20"/>
                <w:szCs w:val="20"/>
              </w:rPr>
              <w:t xml:space="preserve">Calculated columns and measures in DAX for KPIs and composite scores</w:t>
            </w:r>
          </w:p>
          <w:p>
            <w:pPr>
              <w:spacing w:after="40"/>
            </w:pPr>
          </w:p>
          <w:p>
            <w:pPr>
              <w:pStyle w:val="Heading2"/>
              <w:pBdr>
                <w:bottom w:val="single" w:color="D4A017" w:sz="6" w:space="4"/>
              </w:pBdr>
              <w:spacing w:after="120" w:before="280"/>
            </w:pPr>
            <w:r>
              <w:rPr>
                <w:rFonts w:ascii="Calibri" w:cs="Calibri" w:eastAsia="Calibri" w:hAnsi="Calibri"/>
                <w:b/>
                <w:bCs/>
                <w:color w:val="2E8B8B"/>
                <w:sz w:val="26"/>
                <w:szCs w:val="26"/>
              </w:rPr>
              <w:t xml:space="preserve">DAX Highlights</w:t>
            </w:r>
          </w:p>
          <w:p>
            <w:pPr>
              <w:pStyle w:val="ListParagraph"/>
              <w:numPr>
                <w:ilvl w:val="0"/>
                <w:numId w:val="2"/>
              </w:numPr>
              <w:spacing w:after="80"/>
            </w:pPr>
            <w:r>
              <w:rPr>
                <w:rFonts w:ascii="Calibri" w:cs="Calibri" w:eastAsia="Calibri" w:hAnsi="Calibri"/>
                <w:b w:val="false"/>
                <w:bCs w:val="false"/>
                <w:color w:val="1A2E3B"/>
                <w:sz w:val="20"/>
                <w:szCs w:val="20"/>
              </w:rPr>
              <w:t xml:space="preserve">YoY Net Sales % using SAMEPERIODLASTYEAR</w:t>
            </w:r>
          </w:p>
          <w:p>
            <w:pPr>
              <w:pStyle w:val="ListParagraph"/>
              <w:numPr>
                <w:ilvl w:val="0"/>
                <w:numId w:val="2"/>
              </w:numPr>
              <w:spacing w:after="80"/>
            </w:pPr>
            <w:r>
              <w:rPr>
                <w:rFonts w:ascii="Calibri" w:cs="Calibri" w:eastAsia="Calibri" w:hAnsi="Calibri"/>
                <w:b w:val="false"/>
                <w:bCs w:val="false"/>
                <w:color w:val="1A2E3B"/>
                <w:sz w:val="20"/>
                <w:szCs w:val="20"/>
              </w:rPr>
              <w:t xml:space="preserve">Composite Revenue Performance Score (0–1 scale)</w:t>
            </w:r>
          </w:p>
          <w:p>
            <w:pPr>
              <w:pStyle w:val="ListParagraph"/>
              <w:numPr>
                <w:ilvl w:val="0"/>
                <w:numId w:val="2"/>
              </w:numPr>
              <w:spacing w:after="80"/>
            </w:pPr>
            <w:r>
              <w:rPr>
                <w:rFonts w:ascii="Calibri" w:cs="Calibri" w:eastAsia="Calibri" w:hAnsi="Calibri"/>
                <w:b w:val="false"/>
                <w:bCs w:val="false"/>
                <w:color w:val="1A2E3B"/>
                <w:sz w:val="20"/>
                <w:szCs w:val="20"/>
              </w:rPr>
              <w:t xml:space="preserve">Offer Revenue Share % and Promotion Conversion Rate</w:t>
            </w:r>
          </w:p>
          <w:p>
            <w:pPr>
              <w:pStyle w:val="ListParagraph"/>
              <w:numPr>
                <w:ilvl w:val="0"/>
                <w:numId w:val="2"/>
              </w:numPr>
              <w:spacing w:after="80"/>
            </w:pPr>
            <w:r>
              <w:rPr>
                <w:rFonts w:ascii="Calibri" w:cs="Calibri" w:eastAsia="Calibri" w:hAnsi="Calibri"/>
                <w:b w:val="false"/>
                <w:bCs w:val="false"/>
                <w:color w:val="1A2E3B"/>
                <w:sz w:val="20"/>
                <w:szCs w:val="20"/>
              </w:rPr>
              <w:t xml:space="preserve">Running total profit waterfall with Increase/Decrease logic</w:t>
            </w:r>
          </w:p>
        </w:tc>
        <w:tc>
          <w:tcPr>
            <w:tcW w:type="dxa" w:w="47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2"/>
              <w:pBdr>
                <w:bottom w:val="single" w:color="D4A017" w:sz="6" w:space="4"/>
              </w:pBdr>
              <w:spacing w:after="120" w:before="280"/>
            </w:pPr>
            <w:r>
              <w:rPr>
                <w:rFonts w:ascii="Calibri" w:cs="Calibri" w:eastAsia="Calibri" w:hAnsi="Calibri"/>
                <w:b/>
                <w:bCs/>
                <w:color w:val="2E8B8B"/>
                <w:sz w:val="26"/>
                <w:szCs w:val="26"/>
              </w:rPr>
              <w:t xml:space="preserve">Power BI Features Used</w:t>
            </w:r>
          </w:p>
          <w:p>
            <w:pPr>
              <w:pStyle w:val="ListParagraph"/>
              <w:numPr>
                <w:ilvl w:val="0"/>
                <w:numId w:val="2"/>
              </w:numPr>
              <w:spacing w:after="80"/>
            </w:pPr>
            <w:r>
              <w:rPr>
                <w:rFonts w:ascii="Calibri" w:cs="Calibri" w:eastAsia="Calibri" w:hAnsi="Calibri"/>
                <w:b w:val="false"/>
                <w:bCs w:val="false"/>
                <w:color w:val="1A2E3B"/>
                <w:sz w:val="20"/>
                <w:szCs w:val="20"/>
              </w:rPr>
              <w:t xml:space="preserve">Bookmarks &amp; Buttons for page navigation</w:t>
            </w:r>
          </w:p>
          <w:p>
            <w:pPr>
              <w:pStyle w:val="ListParagraph"/>
              <w:numPr>
                <w:ilvl w:val="0"/>
                <w:numId w:val="2"/>
              </w:numPr>
              <w:spacing w:after="80"/>
            </w:pPr>
            <w:r>
              <w:rPr>
                <w:rFonts w:ascii="Calibri" w:cs="Calibri" w:eastAsia="Calibri" w:hAnsi="Calibri"/>
                <w:b w:val="false"/>
                <w:bCs w:val="false"/>
                <w:color w:val="1A2E3B"/>
                <w:sz w:val="20"/>
                <w:szCs w:val="20"/>
              </w:rPr>
              <w:t xml:space="preserve">Conditional formatting on matrix heat-map</w:t>
            </w:r>
          </w:p>
          <w:p>
            <w:pPr>
              <w:pStyle w:val="ListParagraph"/>
              <w:numPr>
                <w:ilvl w:val="0"/>
                <w:numId w:val="2"/>
              </w:numPr>
              <w:spacing w:after="80"/>
            </w:pPr>
            <w:r>
              <w:rPr>
                <w:rFonts w:ascii="Calibri" w:cs="Calibri" w:eastAsia="Calibri" w:hAnsi="Calibri"/>
                <w:b w:val="false"/>
                <w:bCs w:val="false"/>
                <w:color w:val="1A2E3B"/>
                <w:sz w:val="20"/>
                <w:szCs w:val="20"/>
              </w:rPr>
              <w:t xml:space="preserve">Dynamic titles and card visuals with icon images</w:t>
            </w:r>
          </w:p>
          <w:p>
            <w:pPr>
              <w:pStyle w:val="ListParagraph"/>
              <w:numPr>
                <w:ilvl w:val="0"/>
                <w:numId w:val="2"/>
              </w:numPr>
              <w:spacing w:after="80"/>
            </w:pPr>
            <w:r>
              <w:rPr>
                <w:rFonts w:ascii="Calibri" w:cs="Calibri" w:eastAsia="Calibri" w:hAnsi="Calibri"/>
                <w:b w:val="false"/>
                <w:bCs w:val="false"/>
                <w:color w:val="1A2E3B"/>
                <w:sz w:val="20"/>
                <w:szCs w:val="20"/>
              </w:rPr>
              <w:t xml:space="preserve">Gauge visual for composite performance scoring</w:t>
            </w:r>
          </w:p>
          <w:p>
            <w:pPr>
              <w:pStyle w:val="ListParagraph"/>
              <w:numPr>
                <w:ilvl w:val="0"/>
                <w:numId w:val="2"/>
              </w:numPr>
              <w:spacing w:after="80"/>
            </w:pPr>
            <w:r>
              <w:rPr>
                <w:rFonts w:ascii="Calibri" w:cs="Calibri" w:eastAsia="Calibri" w:hAnsi="Calibri"/>
                <w:b w:val="false"/>
                <w:bCs w:val="false"/>
                <w:color w:val="1A2E3B"/>
                <w:sz w:val="20"/>
                <w:szCs w:val="20"/>
              </w:rPr>
              <w:t xml:space="preserve">Area/line combo charts for YoY and campaign baseline</w:t>
            </w:r>
          </w:p>
          <w:p>
            <w:pPr>
              <w:pStyle w:val="ListParagraph"/>
              <w:numPr>
                <w:ilvl w:val="0"/>
                <w:numId w:val="2"/>
              </w:numPr>
              <w:spacing w:after="80"/>
            </w:pPr>
            <w:r>
              <w:rPr>
                <w:rFonts w:ascii="Calibri" w:cs="Calibri" w:eastAsia="Calibri" w:hAnsi="Calibri"/>
                <w:b w:val="false"/>
                <w:bCs w:val="false"/>
                <w:color w:val="1A2E3B"/>
                <w:sz w:val="20"/>
                <w:szCs w:val="20"/>
              </w:rPr>
              <w:t xml:space="preserve">Drillthrough and cross-filter synchronization</w:t>
            </w:r>
          </w:p>
          <w:p>
            <w:pPr>
              <w:spacing w:after="40"/>
            </w:pPr>
          </w:p>
          <w:p>
            <w:pPr>
              <w:pStyle w:val="Heading2"/>
              <w:pBdr>
                <w:bottom w:val="single" w:color="D4A017" w:sz="6" w:space="4"/>
              </w:pBdr>
              <w:spacing w:after="120" w:before="280"/>
            </w:pPr>
            <w:r>
              <w:rPr>
                <w:rFonts w:ascii="Calibri" w:cs="Calibri" w:eastAsia="Calibri" w:hAnsi="Calibri"/>
                <w:b/>
                <w:bCs/>
                <w:color w:val="2E8B8B"/>
                <w:sz w:val="26"/>
                <w:szCs w:val="26"/>
              </w:rPr>
              <w:t xml:space="preserve">Data Sources</w:t>
            </w:r>
          </w:p>
          <w:p>
            <w:pPr>
              <w:pStyle w:val="ListParagraph"/>
              <w:numPr>
                <w:ilvl w:val="0"/>
                <w:numId w:val="2"/>
              </w:numPr>
              <w:spacing w:after="80"/>
            </w:pPr>
            <w:r>
              <w:rPr>
                <w:rFonts w:ascii="Calibri" w:cs="Calibri" w:eastAsia="Calibri" w:hAnsi="Calibri"/>
                <w:b w:val="false"/>
                <w:bCs w:val="false"/>
                <w:color w:val="1A2E3B"/>
                <w:sz w:val="20"/>
                <w:szCs w:val="20"/>
              </w:rPr>
              <w:t xml:space="preserve">Transactional sales data (Egyptian dairy market)</w:t>
            </w:r>
          </w:p>
          <w:p>
            <w:pPr>
              <w:pStyle w:val="ListParagraph"/>
              <w:numPr>
                <w:ilvl w:val="0"/>
                <w:numId w:val="2"/>
              </w:numPr>
              <w:spacing w:after="80"/>
            </w:pPr>
            <w:r>
              <w:rPr>
                <w:rFonts w:ascii="Calibri" w:cs="Calibri" w:eastAsia="Calibri" w:hAnsi="Calibri"/>
                <w:b w:val="false"/>
                <w:bCs w:val="false"/>
                <w:color w:val="1A2E3B"/>
                <w:sz w:val="20"/>
                <w:szCs w:val="20"/>
              </w:rPr>
              <w:t xml:space="preserve">Returns and quality complaints log</w:t>
            </w:r>
          </w:p>
          <w:p>
            <w:pPr>
              <w:pStyle w:val="ListParagraph"/>
              <w:numPr>
                <w:ilvl w:val="0"/>
                <w:numId w:val="2"/>
              </w:numPr>
              <w:spacing w:after="80"/>
            </w:pPr>
            <w:r>
              <w:rPr>
                <w:rFonts w:ascii="Calibri" w:cs="Calibri" w:eastAsia="Calibri" w:hAnsi="Calibri"/>
                <w:b w:val="false"/>
                <w:bCs w:val="false"/>
                <w:color w:val="1A2E3B"/>
                <w:sz w:val="20"/>
                <w:szCs w:val="20"/>
              </w:rPr>
              <w:t xml:space="preserve">Consumer survey (112 participants)</w:t>
            </w:r>
          </w:p>
          <w:p>
            <w:pPr>
              <w:pStyle w:val="ListParagraph"/>
              <w:numPr>
                <w:ilvl w:val="0"/>
                <w:numId w:val="2"/>
              </w:numPr>
              <w:spacing w:after="80"/>
            </w:pPr>
            <w:r>
              <w:rPr>
                <w:rFonts w:ascii="Calibri" w:cs="Calibri" w:eastAsia="Calibri" w:hAnsi="Calibri"/>
                <w:b w:val="false"/>
                <w:bCs w:val="false"/>
                <w:color w:val="1A2E3B"/>
                <w:sz w:val="20"/>
                <w:szCs w:val="20"/>
              </w:rPr>
              <w:t xml:space="preserve">Promotional campaign calendar</w:t>
            </w:r>
          </w:p>
        </w:tc>
      </w:tr>
    </w:tbl>
    <w:p>
      <w:pPr>
        <w:spacing w:after="180"/>
      </w:pPr>
    </w:p>
    <w:p>
      <w:pPr>
        <w:pStyle w:val="Heading1"/>
        <w:shd w:fill="2E8B8B" w:val="clear"/>
        <w:spacing w:after="180" w:before="360"/>
        <w:ind w:left="200" w:right="200"/>
      </w:pPr>
      <w:r>
        <w:rPr>
          <w:rFonts w:ascii="Calibri" w:cs="Calibri" w:eastAsia="Calibri" w:hAnsi="Calibri"/>
          <w:b/>
          <w:bCs/>
          <w:color w:val="FFFFFF"/>
          <w:sz w:val="36"/>
          <w:szCs w:val="36"/>
        </w:rPr>
        <w:t xml:space="preserve">4. Key Business Insights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2E8B8B" w:sz="4"/>
              <w:bottom w:val="single" w:color="D4A017" w:sz="4"/>
              <w:right w:val="single" w:color="2E8B8B" w:sz="4"/>
            </w:tcBorders>
            <w:shd w:fill="F5F7FA" w:val="clear"/>
            <w:tcMar>
              <w:top w:type="dxa" w:w="140"/>
              <w:left w:type="dxa" w:w="200"/>
              <w:bottom w:type="dxa" w:w="140"/>
              <w:right w:type="dxa" w:w="200"/>
            </w:tcMar>
          </w:tcPr>
          <w:p>
            <w:pPr>
              <w:spacing w:after="120"/>
            </w:pPr>
            <w:r>
              <w:rPr>
                <w:rFonts w:ascii="Calibri" w:cs="Calibri" w:eastAsia="Calibri" w:hAnsi="Calibri"/>
                <w:b/>
                <w:bCs/>
                <w:color w:val="2E8B8B"/>
                <w:sz w:val="22"/>
                <w:szCs w:val="22"/>
              </w:rPr>
              <w:t xml:space="preserve">📈  Sales Growth:</w:t>
            </w:r>
            <w:r>
              <w:rPr>
                <w:rFonts w:ascii="Calibri" w:cs="Calibri" w:eastAsia="Calibri" w:hAnsi="Calibri"/>
                <w:b w:val="false"/>
                <w:bCs w:val="false"/>
                <w:color w:val="1A2E3B"/>
                <w:sz w:val="20"/>
                <w:szCs w:val="20"/>
              </w:rPr>
              <w:t xml:space="preserve">  50.15% YoY growth demonstrates strong market expansion, nearly reaching the 119.29M EGP sales target (96.99% achievement).</w:t>
            </w:r>
          </w:p>
          <w:p>
            <w:pPr>
              <w:spacing w:after="120"/>
            </w:pPr>
            <w:r>
              <w:rPr>
                <w:rFonts w:ascii="Calibri" w:cs="Calibri" w:eastAsia="Calibri" w:hAnsi="Calibri"/>
                <w:b/>
                <w:bCs/>
                <w:color w:val="2E8B8B"/>
                <w:sz w:val="22"/>
                <w:szCs w:val="22"/>
              </w:rPr>
              <w:t xml:space="preserve">🧀  Product Leadership:</w:t>
            </w:r>
            <w:r>
              <w:rPr>
                <w:rFonts w:ascii="Calibri" w:cs="Calibri" w:eastAsia="Calibri" w:hAnsi="Calibri"/>
                <w:b w:val="false"/>
                <w:bCs w:val="false"/>
                <w:color w:val="1A2E3B"/>
                <w:sz w:val="20"/>
                <w:szCs w:val="20"/>
              </w:rPr>
              <w:t xml:space="preserve">  Cheese dominates revenue across sales, returns impact, and promotional performance, confirming its role as the core category.</w:t>
            </w:r>
          </w:p>
          <w:p>
            <w:pPr>
              <w:spacing w:after="120"/>
            </w:pPr>
            <w:r>
              <w:rPr>
                <w:rFonts w:ascii="Calibri" w:cs="Calibri" w:eastAsia="Calibri" w:hAnsi="Calibri"/>
                <w:b/>
                <w:bCs/>
                <w:color w:val="2E8B8B"/>
                <w:sz w:val="22"/>
                <w:szCs w:val="22"/>
              </w:rPr>
              <w:t xml:space="preserve">🎯  Promotions Effectiveness:</w:t>
            </w:r>
            <w:r>
              <w:rPr>
                <w:rFonts w:ascii="Calibri" w:cs="Calibri" w:eastAsia="Calibri" w:hAnsi="Calibri"/>
                <w:b w:val="false"/>
                <w:bCs w:val="false"/>
                <w:color w:val="1A2E3B"/>
                <w:sz w:val="20"/>
                <w:szCs w:val="20"/>
              </w:rPr>
              <w:t xml:space="preserve">  With 53.27% of revenue generated during campaign periods and a 68.97% conversion rate, promotional strategy is a proven revenue lever.</w:t>
            </w:r>
          </w:p>
          <w:p>
            <w:pPr>
              <w:spacing w:after="120"/>
            </w:pPr>
            <w:r>
              <w:rPr>
                <w:rFonts w:ascii="Calibri" w:cs="Calibri" w:eastAsia="Calibri" w:hAnsi="Calibri"/>
                <w:b/>
                <w:bCs/>
                <w:color w:val="2E8B8B"/>
                <w:sz w:val="22"/>
                <w:szCs w:val="22"/>
              </w:rPr>
              <w:t xml:space="preserve">⭐  Brand Equity:</w:t>
            </w:r>
            <w:r>
              <w:rPr>
                <w:rFonts w:ascii="Calibri" w:cs="Calibri" w:eastAsia="Calibri" w:hAnsi="Calibri"/>
                <w:b w:val="false"/>
                <w:bCs w:val="false"/>
                <w:color w:val="1A2E3B"/>
                <w:sz w:val="20"/>
                <w:szCs w:val="20"/>
              </w:rPr>
              <w:t xml:space="preserve">  Juhayna leads consumer preference in the survey, yet Danone leads in profitability margin — signalling a gap between volume performance and margin efficiency.</w:t>
            </w:r>
          </w:p>
          <w:p>
            <w:pPr>
              <w:spacing w:after="120"/>
            </w:pPr>
            <w:r>
              <w:rPr>
                <w:rFonts w:ascii="Calibri" w:cs="Calibri" w:eastAsia="Calibri" w:hAnsi="Calibri"/>
                <w:b/>
                <w:bCs/>
                <w:color w:val="2E8B8B"/>
                <w:sz w:val="22"/>
                <w:szCs w:val="22"/>
              </w:rPr>
              <w:t xml:space="preserve">📦  Quality Strength:</w:t>
            </w:r>
            <w:r>
              <w:rPr>
                <w:rFonts w:ascii="Calibri" w:cs="Calibri" w:eastAsia="Calibri" w:hAnsi="Calibri"/>
                <w:b w:val="false"/>
                <w:bCs w:val="false"/>
                <w:color w:val="1A2E3B"/>
                <w:sz w:val="20"/>
                <w:szCs w:val="20"/>
              </w:rPr>
              <w:t xml:space="preserve">  A 0.36% return rate is well below industry norms, reflecting rigorous supply chain and quality management.</w:t>
            </w:r>
          </w:p>
          <w:p>
            <w:pPr>
              <w:spacing w:after="120"/>
            </w:pPr>
            <w:r>
              <w:rPr>
                <w:rFonts w:ascii="Calibri" w:cs="Calibri" w:eastAsia="Calibri" w:hAnsi="Calibri"/>
                <w:b/>
                <w:bCs/>
                <w:color w:val="2E8B8B"/>
                <w:sz w:val="22"/>
                <w:szCs w:val="22"/>
              </w:rPr>
              <w:t xml:space="preserve">👥  Customer Segments:</w:t>
            </w:r>
            <w:r>
              <w:rPr>
                <w:rFonts w:ascii="Calibri" w:cs="Calibri" w:eastAsia="Calibri" w:hAnsi="Calibri"/>
                <w:b w:val="false"/>
                <w:bCs w:val="false"/>
                <w:color w:val="1A2E3B"/>
                <w:sz w:val="20"/>
                <w:szCs w:val="20"/>
              </w:rPr>
              <w:t xml:space="preserve">  Wholesale (51%) is the dominant revenue channel; Loyal Customers and Champions represent the highest-value retention cohorts.</w:t>
            </w:r>
          </w:p>
        </w:tc>
      </w:tr>
    </w:tbl>
    <w:p>
      <w:pPr>
        <w:spacing w:after="180"/>
      </w:pPr>
    </w:p>
    <w:p>
      <w:pPr>
        <w:pStyle w:val="Heading1"/>
        <w:shd w:fill="2E8B8B" w:val="clear"/>
        <w:spacing w:after="180" w:before="360"/>
        <w:ind w:left="200" w:right="200"/>
      </w:pPr>
      <w:r>
        <w:rPr>
          <w:rFonts w:ascii="Calibri" w:cs="Calibri" w:eastAsia="Calibri" w:hAnsi="Calibri"/>
          <w:b/>
          <w:bCs/>
          <w:color w:val="FFFFFF"/>
          <w:sz w:val="36"/>
          <w:szCs w:val="36"/>
        </w:rPr>
        <w:t xml:space="preserve">5. Conclusion</w:t>
      </w:r>
    </w:p>
    <w:p>
      <w:pPr>
        <w:spacing w:after="80"/>
      </w:pPr>
    </w:p>
    <w:p>
      <w:pPr>
        <w:spacing w:after="120"/>
      </w:pPr>
      <w:r>
        <w:rPr>
          <w:rFonts w:ascii="Calibri" w:cs="Calibri" w:eastAsia="Calibri" w:hAnsi="Calibri"/>
          <w:b w:val="false"/>
          <w:bCs w:val="false"/>
          <w:color w:val="1A2E3B"/>
          <w:sz w:val="20"/>
          <w:szCs w:val="20"/>
        </w:rPr>
        <w:t xml:space="preserve">The LUMINA MART Dairy Intelligence Dashboard delivers a 360-degree view of business performance across six strategic dimensions. By consolidating transactional, promotional, return, and survey data into a single interactive Power BI report, the project empowers decision-makers to act on evidence rather than intuition.</w:t>
      </w:r>
    </w:p>
    <w:p>
      <w:pPr>
        <w:spacing w:after="60"/>
      </w:pPr>
    </w:p>
    <w:p>
      <w:pPr>
        <w:spacing w:after="120"/>
      </w:pPr>
      <w:r>
        <w:rPr>
          <w:rFonts w:ascii="Calibri" w:cs="Calibri" w:eastAsia="Calibri" w:hAnsi="Calibri"/>
          <w:b w:val="false"/>
          <w:bCs w:val="false"/>
          <w:color w:val="1A2E3B"/>
          <w:sz w:val="20"/>
          <w:szCs w:val="20"/>
        </w:rPr>
        <w:t xml:space="preserve">The dashboard is designed for scalability — new data periods, product lines, and regions can be incorporated with minimal rework, making it a sustainable BI asset for continued growth in the Egyptian dairy market.</w:t>
      </w:r>
    </w:p>
    <w:p>
      <w:pPr>
        <w:spacing w:after="120"/>
      </w:pPr>
    </w:p>
    <w:p>
      <w:pPr>
        <w:pBdr>
          <w:top w:val="single" w:color="D4A017" w:sz="6" w:space="4"/>
          <w:bottom w:val="single" w:color="D4A017" w:sz="6" w:space="4"/>
        </w:pBdr>
        <w:shd w:fill="F5F7FA" w:val="clear"/>
        <w:spacing w:after="120" w:before="120"/>
        <w:jc w:val="center"/>
      </w:pPr>
      <w:r>
        <w:rPr>
          <w:rFonts w:ascii="Calibri" w:cs="Calibri" w:eastAsia="Calibri" w:hAnsi="Calibri"/>
          <w:color w:val="888888"/>
          <w:sz w:val="18"/>
          <w:szCs w:val="18"/>
        </w:rPr>
        <w:t xml:space="preserve">© 2026 LUMINA MART – Dairy Intelligence  |  DEPI – Next Academy Graduation Project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6" w:space="4"/>
      </w:pBdr>
      <w:spacing w:before="80"/>
      <w:jc w:val="center"/>
    </w:pPr>
    <w:r>
      <w:rPr>
        <w:rFonts w:ascii="Calibri" w:cs="Calibri" w:eastAsia="Calibri" w:hAnsi="Calibri"/>
        <w:color w:val="888888"/>
        <w:sz w:val="16"/>
        <w:szCs w:val="16"/>
      </w:rPr>
      <w:t xml:space="preserve">Page </w:t>
    </w:r>
    <w:r>
      <w:rPr>
        <w:rFonts w:ascii="Calibri" w:cs="Calibri" w:eastAsia="Calibri" w:hAnsi="Calibri"/>
        <w:color w:val="2E8B8B"/>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 2026 LUMINA MART – DEPI Next Academy Graduation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6" w:space="4"/>
      </w:pBdr>
      <w:spacing w:after="80"/>
      <w:jc w:val="right"/>
    </w:pPr>
    <w:r>
      <w:rPr>
        <w:rFonts w:ascii="Calibri" w:cs="Calibri" w:eastAsia="Calibri" w:hAnsi="Calibri"/>
        <w:color w:val="888888"/>
        <w:sz w:val="16"/>
        <w:szCs w:val="16"/>
      </w:rPr>
      <w:t xml:space="preserve">LUMINA MART  |  Dairy Intelligence Dashboard  |  Power BI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E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FFFFFF"/>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E8B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1d65ef979ba630545b92d9f34663561883c970c.png"/><Relationship Id="rId10" Type="http://schemas.openxmlformats.org/officeDocument/2006/relationships/image" Target="media/4b8b1b3a5c32aa03e5e66d5f4c27271d41a578f0.png"/><Relationship Id="rId11" Type="http://schemas.openxmlformats.org/officeDocument/2006/relationships/image" Target="media/a2abeddba92f90c93c6189c259df4a813d8c8160.png"/><Relationship Id="rId12" Type="http://schemas.openxmlformats.org/officeDocument/2006/relationships/image" Target="media/6a599020ce84700122f7d2bb2f9adbff2c67475c.png"/><Relationship Id="rId13" Type="http://schemas.openxmlformats.org/officeDocument/2006/relationships/image" Target="media/f13b0ba8e6c17c387c7192f4845b4574cbc86d88.png"/><Relationship Id="rId14" Type="http://schemas.openxmlformats.org/officeDocument/2006/relationships/image" Target="media/428d30b489b6bfe0b51dcc49ee7f7686f2fdc2d5.png"/><Relationship Id="rId15" Type="http://schemas.openxmlformats.org/officeDocument/2006/relationships/image" Target="media/a902e2443491cbba4247968311bb5a211d3f83e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2026-05-17T19:44:07.488Z</dcterms:created>
  <dcterms:modified xsi:type="dcterms:W3CDTF">2026-05-17T19:44:07.489Z</dcterms:modified>
</cp:coreProperties>
</file>

<file path=docProps/custom.xml><?xml version="1.0" encoding="utf-8"?>
<Properties xmlns="http://schemas.openxmlformats.org/officeDocument/2006/custom-properties" xmlns:vt="http://schemas.openxmlformats.org/officeDocument/2006/docPropsVTypes"/>
</file>